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ПРОЕКТ</w:t>
      </w: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00.00.2020г. № </w:t>
      </w: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РОССИЙСКАЯ ФЕДЕРАЦИЯ</w:t>
      </w:r>
    </w:p>
    <w:p w:rsidR="00B01D7B" w:rsidRPr="00B01D7B" w:rsidRDefault="00B01D7B" w:rsidP="00B01D7B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ИРКУТСКАЯ ОБЛАСТЬ</w:t>
      </w:r>
    </w:p>
    <w:p w:rsidR="00B01D7B" w:rsidRPr="00B01D7B" w:rsidRDefault="00B01D7B" w:rsidP="00B01D7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НИЖНЕУДИНСКИЙ МУНИЦИПАЛЬНЫЙ РАЙОН</w:t>
      </w:r>
    </w:p>
    <w:p w:rsidR="00B01D7B" w:rsidRPr="00B01D7B" w:rsidRDefault="00B01D7B" w:rsidP="00B01D7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ЗАМЗОРСКОЕ СЕЛЬСКОЕ ПОСЕЛЕНИЕ</w:t>
      </w:r>
    </w:p>
    <w:p w:rsidR="00B01D7B" w:rsidRPr="00B01D7B" w:rsidRDefault="00B01D7B" w:rsidP="00B01D7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ДУМА</w:t>
      </w:r>
    </w:p>
    <w:p w:rsidR="00B01D7B" w:rsidRPr="00B01D7B" w:rsidRDefault="00B01D7B" w:rsidP="00B01D7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РЕШЕНИЕ</w:t>
      </w:r>
    </w:p>
    <w:p w:rsidR="00B01D7B" w:rsidRPr="00B01D7B" w:rsidRDefault="00B01D7B" w:rsidP="00B01D7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О ВНЕСЕНИИ ДОПОЛНЕНИЙ В МЕСТНЫЕ НОРМАТИВЫ</w:t>
      </w: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ГРАДОСТРОИТЕЛЬНОГО ПРОЕКТИРОВАНИЯ</w:t>
      </w: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ЗАМЗОРСКОГО МУНИЦИПАЛЬНОГО ОБРАЗОВАНИЯ</w:t>
      </w:r>
    </w:p>
    <w:p w:rsidR="00B01D7B" w:rsidRPr="00B01D7B" w:rsidRDefault="00B01D7B" w:rsidP="00B01D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НИЖНЕУДИНСКОГО РАЙОНА  ИРКУТСКОЙ ОБЛАСТИ</w:t>
      </w:r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B01D7B" w:rsidRPr="00B01D7B" w:rsidRDefault="00B01D7B" w:rsidP="004E4B7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В соответствии с Градостроительным кодексом Российской Федерации, Федеральным законом от 06.10.2003 N 131-ФЗ</w:t>
      </w:r>
      <w:proofErr w:type="gramStart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</w:t>
      </w:r>
      <w:proofErr w:type="gramEnd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б общих принципах организации местного самоуправления в Российской Федерации", ст. 6 Устава Замзорского муниципального образования, постановлением администрации Замзорского муниципального образования – администрации сельского поселения №57 от 30.12.2014 г. «Об утверждении Положения о составе, порядке подготовки и утверждения местных нормативов градостроительного проектирования Замзорского муниципального образования», Дума Замзорского муниципального образования </w:t>
      </w:r>
    </w:p>
    <w:p w:rsidR="00B01D7B" w:rsidRPr="00B01D7B" w:rsidRDefault="00B01D7B" w:rsidP="004E4B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РЕШИЛА:</w:t>
      </w: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1.Дополнить местные нормативы градостроительного проектирования Замзорского муниципального образования Нижнеудинского района Иркутской  области: утверждённые Решением Думы Замзорского муниципального образования № 120 от 27.07.2016 г.:</w:t>
      </w: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1.1 Приложение № 1 - Основная часть (.расчетные показатели), раздел</w:t>
      </w:r>
      <w:proofErr w:type="gramStart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1</w:t>
      </w:r>
      <w:proofErr w:type="gramEnd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«Термины и определения», дополнить пунктом «Инфраструктура для велосипедного движения» следующего содержания:</w:t>
      </w: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Инфраструктура для велосипедного движения формируется в виде взаимоувязанной сети велосипедных путей (велосипедных дорожек и (или) полос для движения велосипедного транспорта) на городских территориях различного функционального назначения. </w:t>
      </w:r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3525"/>
      </w:tblGrid>
      <w:tr w:rsidR="00B01D7B" w:rsidRPr="004E4B7B" w:rsidTr="00B01D7B">
        <w:trPr>
          <w:trHeight w:val="20"/>
        </w:trPr>
        <w:tc>
          <w:tcPr>
            <w:tcW w:w="1477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Велосипедные дорожки</w:t>
            </w:r>
          </w:p>
        </w:tc>
        <w:tc>
          <w:tcPr>
            <w:tcW w:w="3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Основное назначение </w:t>
            </w:r>
          </w:p>
        </w:tc>
      </w:tr>
      <w:tr w:rsidR="00B01D7B" w:rsidRPr="004E4B7B" w:rsidTr="00B01D7B">
        <w:trPr>
          <w:trHeight w:val="20"/>
        </w:trPr>
        <w:tc>
          <w:tcPr>
            <w:tcW w:w="1477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в составе поперечного профиля УДС</w:t>
            </w:r>
          </w:p>
        </w:tc>
        <w:tc>
          <w:tcPr>
            <w:tcW w:w="3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01D7B" w:rsidRPr="004E4B7B" w:rsidTr="00B01D7B">
        <w:trPr>
          <w:trHeight w:val="20"/>
        </w:trPr>
        <w:tc>
          <w:tcPr>
            <w:tcW w:w="1477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на рекреационных территориях, в жилых зонах и т.п.</w:t>
            </w:r>
          </w:p>
        </w:tc>
        <w:tc>
          <w:tcPr>
            <w:tcW w:w="3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Специально выделенная полоса для проезда на велосипедах</w:t>
            </w:r>
          </w:p>
        </w:tc>
      </w:tr>
    </w:tbl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расстоянии безопасности от края велодорожки. </w:t>
      </w:r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Минимальные расстояния от велосипедных дорожек и полос до боковых препятствий следует принимать по таблице 2.</w:t>
      </w:r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2</w:t>
      </w:r>
    </w:p>
    <w:tbl>
      <w:tblPr>
        <w:tblW w:w="49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851"/>
      </w:tblGrid>
      <w:tr w:rsidR="00B01D7B" w:rsidRPr="004E4B7B" w:rsidTr="00B01D7B">
        <w:trPr>
          <w:trHeight w:val="20"/>
        </w:trPr>
        <w:tc>
          <w:tcPr>
            <w:tcW w:w="2835" w:type="dxa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Минимальное расстояние</w:t>
            </w:r>
          </w:p>
        </w:tc>
        <w:tc>
          <w:tcPr>
            <w:tcW w:w="1276" w:type="dxa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Велосипедная дорожка,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  <w:tc>
          <w:tcPr>
            <w:tcW w:w="851" w:type="dxa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Велосипедная полоса,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</w:tr>
      <w:tr w:rsidR="00B01D7B" w:rsidRPr="004E4B7B" w:rsidTr="00B01D7B">
        <w:trPr>
          <w:trHeight w:val="20"/>
        </w:trPr>
        <w:tc>
          <w:tcPr>
            <w:tcW w:w="2835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lastRenderedPageBreak/>
              <w:t>До проезжей части, опор, деревьев</w:t>
            </w:r>
          </w:p>
        </w:tc>
        <w:tc>
          <w:tcPr>
            <w:tcW w:w="1276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0,75</w:t>
            </w:r>
          </w:p>
        </w:tc>
        <w:tc>
          <w:tcPr>
            <w:tcW w:w="851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0,50</w:t>
            </w:r>
          </w:p>
        </w:tc>
      </w:tr>
      <w:tr w:rsidR="00B01D7B" w:rsidRPr="004E4B7B" w:rsidTr="00B01D7B">
        <w:trPr>
          <w:trHeight w:val="20"/>
        </w:trPr>
        <w:tc>
          <w:tcPr>
            <w:tcW w:w="2835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До стоянок автомобилей (параллельных/под углом)</w:t>
            </w:r>
          </w:p>
        </w:tc>
        <w:tc>
          <w:tcPr>
            <w:tcW w:w="2127" w:type="dxa"/>
            <w:gridSpan w:val="2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0,75/0,25</w:t>
            </w:r>
          </w:p>
        </w:tc>
      </w:tr>
      <w:tr w:rsidR="00B01D7B" w:rsidRPr="004E4B7B" w:rsidTr="00B01D7B">
        <w:trPr>
          <w:trHeight w:val="20"/>
        </w:trPr>
        <w:tc>
          <w:tcPr>
            <w:tcW w:w="2835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Тротуаров</w:t>
            </w:r>
          </w:p>
        </w:tc>
        <w:tc>
          <w:tcPr>
            <w:tcW w:w="1276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0,50</w:t>
            </w:r>
          </w:p>
        </w:tc>
        <w:tc>
          <w:tcPr>
            <w:tcW w:w="851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0,25</w:t>
            </w:r>
          </w:p>
        </w:tc>
      </w:tr>
      <w:tr w:rsidR="00B01D7B" w:rsidRPr="004E4B7B" w:rsidTr="00B01D7B">
        <w:trPr>
          <w:trHeight w:val="20"/>
        </w:trPr>
        <w:tc>
          <w:tcPr>
            <w:tcW w:w="2835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Зданий, оград и других построек и сооружений</w:t>
            </w:r>
          </w:p>
        </w:tc>
        <w:tc>
          <w:tcPr>
            <w:tcW w:w="2127" w:type="dxa"/>
            <w:gridSpan w:val="2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0,25</w:t>
            </w:r>
          </w:p>
        </w:tc>
      </w:tr>
    </w:tbl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Допускается устраивать велосипедные полосы по краю улиц и дорог местного значения. Ширина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B01D7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1,2 м</w:t>
        </w:r>
      </w:smartTag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B01D7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1,5 м</w:t>
        </w:r>
      </w:smartTag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B01D7B">
          <w:rPr>
            <w:rFonts w:ascii="Times New Roman" w:eastAsia="Times New Roman" w:hAnsi="Times New Roman" w:cs="Times New Roman"/>
            <w:sz w:val="16"/>
            <w:szCs w:val="16"/>
            <w:lang w:eastAsia="ar-SA"/>
          </w:rPr>
          <w:t>1 м</w:t>
        </w:r>
      </w:smartTag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Количество полос движения назначается в зависимости от прогнозируемой интенсивности велосипедного движения из расчета 1500 вел</w:t>
      </w:r>
      <w:proofErr w:type="gramStart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proofErr w:type="gramEnd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/</w:t>
      </w:r>
      <w:proofErr w:type="gramStart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ч</w:t>
      </w:r>
      <w:proofErr w:type="gramEnd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на одну велосипедную полосу при одностороннем движении,</w:t>
      </w:r>
      <w:bookmarkStart w:id="0" w:name="_GoBack"/>
      <w:bookmarkEnd w:id="0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1000 вел./ч на одну велосипедную полосу при двухстороннем движении.</w:t>
      </w: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Проектирование велосипедных дорожек следует осуществлять в соответствии с характеристиками, приведенными в таблице 3.</w:t>
      </w:r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674"/>
        <w:gridCol w:w="524"/>
        <w:gridCol w:w="598"/>
        <w:gridCol w:w="599"/>
        <w:gridCol w:w="599"/>
        <w:gridCol w:w="598"/>
        <w:gridCol w:w="629"/>
      </w:tblGrid>
      <w:tr w:rsidR="00B01D7B" w:rsidRPr="004E4B7B" w:rsidTr="00B01D7B">
        <w:trPr>
          <w:trHeight w:val="20"/>
        </w:trPr>
        <w:tc>
          <w:tcPr>
            <w:tcW w:w="781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Категория дорог и улиц</w:t>
            </w: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Расчетная скорость движения,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км</w:t>
            </w:r>
            <w:proofErr w:type="gramEnd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/ч</w:t>
            </w: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Ширина полосы движения,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Число полос движения (суммарно в двух направлениях)</w:t>
            </w:r>
          </w:p>
        </w:tc>
        <w:tc>
          <w:tcPr>
            <w:tcW w:w="599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Наименьший радиус кривых в плане,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  <w:tc>
          <w:tcPr>
            <w:tcW w:w="599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Наибольший продольный уклон, ‰</w:t>
            </w:r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Наименьший радиус вертикальной выпуклой кривой,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  <w:tc>
          <w:tcPr>
            <w:tcW w:w="62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Наименьший радиус вертикальной вогнутой кривой, </w:t>
            </w:r>
            <w:proofErr w:type="gramStart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м</w:t>
            </w:r>
            <w:proofErr w:type="gramEnd"/>
          </w:p>
        </w:tc>
      </w:tr>
      <w:tr w:rsidR="00B01D7B" w:rsidRPr="004E4B7B" w:rsidTr="00B01D7B">
        <w:trPr>
          <w:trHeight w:val="20"/>
        </w:trPr>
        <w:tc>
          <w:tcPr>
            <w:tcW w:w="781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Велосипедные дорожки:</w:t>
            </w: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25</w:t>
            </w: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70***</w:t>
            </w:r>
          </w:p>
        </w:tc>
        <w:tc>
          <w:tcPr>
            <w:tcW w:w="598" w:type="pct"/>
            <w:vMerge w:val="restart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400</w:t>
            </w:r>
          </w:p>
        </w:tc>
        <w:tc>
          <w:tcPr>
            <w:tcW w:w="628" w:type="pct"/>
            <w:vMerge w:val="restart"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100</w:t>
            </w: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01D7B" w:rsidRPr="004E4B7B" w:rsidTr="00B01D7B">
        <w:trPr>
          <w:trHeight w:val="20"/>
        </w:trPr>
        <w:tc>
          <w:tcPr>
            <w:tcW w:w="781" w:type="pct"/>
            <w:vMerge w:val="restar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в составе поперечного профиля УДС</w:t>
            </w: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</w:t>
            </w: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1,50</w:t>
            </w:r>
            <w:hyperlink w:anchor="P1272" w:history="1">
              <w:r w:rsidRPr="004E4B7B">
                <w:rPr>
                  <w:rFonts w:ascii="Times New Roman" w:eastAsia="Times New Roman" w:hAnsi="Times New Roman" w:cs="Times New Roman"/>
                  <w:color w:val="0000FF"/>
                  <w:sz w:val="10"/>
                  <w:szCs w:val="10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1 - 2</w:t>
            </w: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/>
            <w:vAlign w:val="center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2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01D7B" w:rsidRPr="004E4B7B" w:rsidTr="00B01D7B">
        <w:trPr>
          <w:trHeight w:val="20"/>
        </w:trPr>
        <w:tc>
          <w:tcPr>
            <w:tcW w:w="781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1,00**</w:t>
            </w:r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2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01D7B" w:rsidRPr="004E4B7B" w:rsidTr="00B01D7B">
        <w:trPr>
          <w:trHeight w:val="20"/>
        </w:trPr>
        <w:tc>
          <w:tcPr>
            <w:tcW w:w="781" w:type="pct"/>
            <w:vMerge w:val="restar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- на рекреационных территориях в жилых зонах и т.п.</w:t>
            </w: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20</w:t>
            </w: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1,50*</w:t>
            </w:r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1 - 2</w:t>
            </w: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2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01D7B" w:rsidRPr="004E4B7B" w:rsidTr="00B01D7B">
        <w:trPr>
          <w:trHeight w:val="20"/>
        </w:trPr>
        <w:tc>
          <w:tcPr>
            <w:tcW w:w="781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7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23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1,00**</w:t>
            </w:r>
          </w:p>
        </w:tc>
        <w:tc>
          <w:tcPr>
            <w:tcW w:w="598" w:type="pct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2</w:t>
            </w: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9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59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  <w:tc>
          <w:tcPr>
            <w:tcW w:w="628" w:type="pct"/>
            <w:vMerge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01D7B" w:rsidRPr="004E4B7B" w:rsidTr="00B01D7B">
        <w:trPr>
          <w:trHeight w:val="20"/>
        </w:trPr>
        <w:tc>
          <w:tcPr>
            <w:tcW w:w="5000" w:type="pct"/>
            <w:gridSpan w:val="8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bookmarkStart w:id="1" w:name="P1272"/>
            <w:bookmarkEnd w:id="1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         *     При движении в одном направлении. </w:t>
            </w: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bookmarkStart w:id="2" w:name="P1273"/>
            <w:bookmarkEnd w:id="2"/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**    При движении в двух направлениях.</w:t>
            </w: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>*** 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с двухсторонним движением при продольных уклонах проезжей части улицы или дороги более 30‰. При уклонах более 30‰ следует увеличивать ширину велосипедных полос и дорожек в 1,5 раза.</w:t>
            </w:r>
          </w:p>
        </w:tc>
      </w:tr>
    </w:tbl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gramStart"/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1.2.Приложение №2 - Материалы по обоснованию </w:t>
      </w:r>
      <w:r w:rsidRPr="00B01D7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расчетных показателей, содержащихся в основной части нормативов</w:t>
      </w: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градостроительного проектирования), раздел «Обоснование расчетных показателей в области автомобильных дорог местного значения», внести следующие дополнение в таблицу № 8:</w:t>
      </w:r>
      <w:proofErr w:type="gramEnd"/>
    </w:p>
    <w:p w:rsidR="00B01D7B" w:rsidRPr="00B01D7B" w:rsidRDefault="00B01D7B" w:rsidP="00B01D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3427"/>
      </w:tblGrid>
      <w:tr w:rsidR="00B01D7B" w:rsidRPr="004E4B7B" w:rsidTr="00B01D7B">
        <w:trPr>
          <w:trHeight w:val="20"/>
        </w:trPr>
        <w:tc>
          <w:tcPr>
            <w:tcW w:w="1668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ar-SA"/>
              </w:rPr>
              <w:t>Велосипедные дорожки</w:t>
            </w:r>
          </w:p>
        </w:tc>
        <w:tc>
          <w:tcPr>
            <w:tcW w:w="3427" w:type="dxa"/>
          </w:tcPr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  <w:r w:rsidRPr="004E4B7B"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  <w:t xml:space="preserve">Проектирование велосипедных дорожек следует осуществлять в соответствии с характеристиками, приведенными в СП 42.13330.2016 и СП 396.1325800.2018. </w:t>
            </w:r>
          </w:p>
          <w:p w:rsidR="00B01D7B" w:rsidRPr="004E4B7B" w:rsidRDefault="00B01D7B" w:rsidP="00B01D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</w:tbl>
    <w:p w:rsidR="00B01D7B" w:rsidRPr="00B01D7B" w:rsidRDefault="00B01D7B" w:rsidP="004E4B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B01D7B">
        <w:rPr>
          <w:rFonts w:ascii="Times New Roman" w:eastAsia="Times New Roman" w:hAnsi="Times New Roman" w:cs="Times New Roman"/>
          <w:sz w:val="16"/>
          <w:szCs w:val="16"/>
          <w:lang w:eastAsia="ar-SA"/>
        </w:rPr>
        <w:t>2. Опубликовать настоящее решение в «Вестнике Замзорского сельского поселения», а также на официальном сайте Замзорского МО в сети интернет.</w:t>
      </w:r>
    </w:p>
    <w:p w:rsidR="00B01D7B" w:rsidRPr="00B01D7B" w:rsidRDefault="00B01D7B" w:rsidP="004E4B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1D7B">
        <w:rPr>
          <w:rFonts w:ascii="Times New Roman" w:eastAsia="Times New Roman" w:hAnsi="Times New Roman" w:cs="Times New Roman"/>
          <w:sz w:val="16"/>
          <w:szCs w:val="16"/>
        </w:rPr>
        <w:t xml:space="preserve">3. Настоящее решение вступает в силу со дня его официального опубликования. </w:t>
      </w:r>
    </w:p>
    <w:p w:rsidR="00B01D7B" w:rsidRPr="00B01D7B" w:rsidRDefault="00B01D7B" w:rsidP="004E4B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01D7B" w:rsidRPr="004E4B7B" w:rsidRDefault="00B01D7B" w:rsidP="00B01D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4B7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B01D7B" w:rsidRPr="004E4B7B" w:rsidRDefault="00B01D7B" w:rsidP="00B01D7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E4B7B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Е.В.</w:t>
      </w:r>
      <w:r w:rsidR="004E4B7B" w:rsidRPr="004E4B7B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  <w:r w:rsidRPr="004E4B7B">
        <w:rPr>
          <w:rFonts w:ascii="Times New Roman" w:eastAsia="Times New Roman" w:hAnsi="Times New Roman" w:cs="Times New Roman"/>
          <w:b/>
          <w:i/>
          <w:sz w:val="16"/>
          <w:szCs w:val="16"/>
        </w:rPr>
        <w:t>Бурмакина</w:t>
      </w:r>
    </w:p>
    <w:p w:rsidR="00B01D7B" w:rsidRDefault="00B01D7B" w:rsidP="00702F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  <w:sectPr w:rsidR="00B01D7B" w:rsidSect="004E4B7B">
          <w:headerReference w:type="default" r:id="rId9"/>
          <w:headerReference w:type="first" r:id="rId10"/>
          <w:type w:val="continuous"/>
          <w:pgSz w:w="11906" w:h="16838"/>
          <w:pgMar w:top="426" w:right="720" w:bottom="284" w:left="720" w:header="421" w:footer="982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518F7" w:rsidSect="004A2D04">
          <w:type w:val="continuous"/>
          <w:pgSz w:w="11906" w:h="16838"/>
          <w:pgMar w:top="1231" w:right="720" w:bottom="720" w:left="720" w:header="708" w:footer="982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4E4B7B">
        <w:rPr>
          <w:rFonts w:ascii="Times New Roman" w:hAnsi="Times New Roman" w:cs="Times New Roman"/>
          <w:sz w:val="18"/>
          <w:szCs w:val="18"/>
        </w:rPr>
        <w:t>30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6931EB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4E4B7B">
        <w:rPr>
          <w:rFonts w:ascii="Times New Roman" w:hAnsi="Times New Roman" w:cs="Times New Roman"/>
          <w:sz w:val="18"/>
          <w:szCs w:val="18"/>
        </w:rPr>
        <w:t>09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4710E3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B0" w:rsidRDefault="00485DB0" w:rsidP="0015601B">
      <w:pPr>
        <w:spacing w:after="0" w:line="240" w:lineRule="auto"/>
      </w:pPr>
      <w:r>
        <w:separator/>
      </w:r>
    </w:p>
  </w:endnote>
  <w:end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B0" w:rsidRDefault="00485DB0" w:rsidP="0015601B">
      <w:pPr>
        <w:spacing w:after="0" w:line="240" w:lineRule="auto"/>
      </w:pPr>
      <w:r>
        <w:separator/>
      </w:r>
    </w:p>
  </w:footnote>
  <w:footnote w:type="continuationSeparator" w:id="0">
    <w:p w:rsidR="00485DB0" w:rsidRDefault="00485DB0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86038916"/>
    </w:sdtPr>
    <w:sdtEndPr>
      <w:rPr>
        <w:rFonts w:asciiTheme="minorHAnsi" w:hAnsiTheme="minorHAnsi" w:cstheme="minorBidi"/>
        <w:sz w:val="22"/>
        <w:szCs w:val="22"/>
      </w:rPr>
    </w:sdtEndPr>
    <w:sdtContent>
      <w:p w:rsidR="00485DB0" w:rsidRPr="006E7F2E" w:rsidRDefault="00485DB0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4B7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 w:rsidR="006C0706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 xml:space="preserve">30 </w:t>
        </w:r>
        <w:r w:rsidR="006C0706">
          <w:rPr>
            <w:rFonts w:ascii="Times New Roman" w:hAnsi="Times New Roman" w:cs="Times New Roman"/>
            <w:sz w:val="28"/>
            <w:szCs w:val="28"/>
          </w:rPr>
          <w:t>октября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485DB0" w:rsidRDefault="00485D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B0" w:rsidRDefault="004E4B7B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485DB0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485DB0" w:rsidRPr="00B47541" w:rsidRDefault="00485DB0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B01D7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30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</w:t>
    </w:r>
    <w:r w:rsidR="00B01D7B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5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7110F5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ноября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B5658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F6430"/>
    <w:multiLevelType w:val="multilevel"/>
    <w:tmpl w:val="6FE0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30C23C9D"/>
    <w:multiLevelType w:val="hybridMultilevel"/>
    <w:tmpl w:val="C9960EA8"/>
    <w:lvl w:ilvl="0" w:tplc="C1BCDA6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A9473BD"/>
    <w:multiLevelType w:val="hybridMultilevel"/>
    <w:tmpl w:val="86B68E8C"/>
    <w:lvl w:ilvl="0" w:tplc="47888D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2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58538C"/>
    <w:multiLevelType w:val="hybridMultilevel"/>
    <w:tmpl w:val="1C52E864"/>
    <w:lvl w:ilvl="0" w:tplc="977E4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3D41EC"/>
    <w:multiLevelType w:val="hybridMultilevel"/>
    <w:tmpl w:val="CBDA1F3A"/>
    <w:lvl w:ilvl="0" w:tplc="5D342F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5"/>
  </w:num>
  <w:num w:numId="6">
    <w:abstractNumId w:val="15"/>
  </w:num>
  <w:num w:numId="7">
    <w:abstractNumId w:val="23"/>
  </w:num>
  <w:num w:numId="8">
    <w:abstractNumId w:val="21"/>
  </w:num>
  <w:num w:numId="9">
    <w:abstractNumId w:val="1"/>
  </w:num>
  <w:num w:numId="10">
    <w:abstractNumId w:val="2"/>
  </w:num>
  <w:num w:numId="11">
    <w:abstractNumId w:val="2"/>
  </w:num>
  <w:num w:numId="1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29"/>
  </w:num>
  <w:num w:numId="19">
    <w:abstractNumId w:val="18"/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9"/>
  </w:num>
  <w:num w:numId="24">
    <w:abstractNumId w:val="30"/>
  </w:num>
  <w:num w:numId="25">
    <w:abstractNumId w:val="4"/>
  </w:num>
  <w:num w:numId="26">
    <w:abstractNumId w:val="2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8"/>
  </w:num>
  <w:num w:numId="33">
    <w:abstractNumId w:val="10"/>
  </w:num>
  <w:num w:numId="34">
    <w:abstractNumId w:val="17"/>
  </w:num>
  <w:num w:numId="35">
    <w:abstractNumId w:val="16"/>
  </w:num>
  <w:num w:numId="36">
    <w:abstractNumId w:val="26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21B96"/>
    <w:rsid w:val="00044B3E"/>
    <w:rsid w:val="000B292C"/>
    <w:rsid w:val="001222AB"/>
    <w:rsid w:val="001222CE"/>
    <w:rsid w:val="0012300C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21415A"/>
    <w:rsid w:val="00240CE7"/>
    <w:rsid w:val="00250274"/>
    <w:rsid w:val="002D519B"/>
    <w:rsid w:val="002F6C12"/>
    <w:rsid w:val="003315A8"/>
    <w:rsid w:val="003346B3"/>
    <w:rsid w:val="00385F9E"/>
    <w:rsid w:val="003E4555"/>
    <w:rsid w:val="00410E23"/>
    <w:rsid w:val="00426B69"/>
    <w:rsid w:val="00446C03"/>
    <w:rsid w:val="00447122"/>
    <w:rsid w:val="004710E3"/>
    <w:rsid w:val="00476809"/>
    <w:rsid w:val="00485380"/>
    <w:rsid w:val="00485DB0"/>
    <w:rsid w:val="004A2D04"/>
    <w:rsid w:val="004E4B7B"/>
    <w:rsid w:val="00503FAF"/>
    <w:rsid w:val="005141E4"/>
    <w:rsid w:val="00542E54"/>
    <w:rsid w:val="0054593B"/>
    <w:rsid w:val="00556AC5"/>
    <w:rsid w:val="005B2D76"/>
    <w:rsid w:val="005C2BF3"/>
    <w:rsid w:val="006131F1"/>
    <w:rsid w:val="006931EB"/>
    <w:rsid w:val="006C0706"/>
    <w:rsid w:val="006C154D"/>
    <w:rsid w:val="006C25E0"/>
    <w:rsid w:val="006E507B"/>
    <w:rsid w:val="006E7F2E"/>
    <w:rsid w:val="00702F7A"/>
    <w:rsid w:val="007110F5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42F92"/>
    <w:rsid w:val="00855782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95B5C"/>
    <w:rsid w:val="00AB3FE2"/>
    <w:rsid w:val="00AD40B5"/>
    <w:rsid w:val="00AF56AB"/>
    <w:rsid w:val="00B01D7B"/>
    <w:rsid w:val="00B03AEA"/>
    <w:rsid w:val="00B06C48"/>
    <w:rsid w:val="00B10921"/>
    <w:rsid w:val="00B433BF"/>
    <w:rsid w:val="00B47541"/>
    <w:rsid w:val="00B81CC0"/>
    <w:rsid w:val="00BD1021"/>
    <w:rsid w:val="00C46256"/>
    <w:rsid w:val="00C9620F"/>
    <w:rsid w:val="00CC3F0F"/>
    <w:rsid w:val="00CE1FB3"/>
    <w:rsid w:val="00CE4201"/>
    <w:rsid w:val="00CF583C"/>
    <w:rsid w:val="00D2073C"/>
    <w:rsid w:val="00D60714"/>
    <w:rsid w:val="00DA2EF0"/>
    <w:rsid w:val="00DB39F2"/>
    <w:rsid w:val="00E04F83"/>
    <w:rsid w:val="00E25F79"/>
    <w:rsid w:val="00E30C0B"/>
    <w:rsid w:val="00E82A0F"/>
    <w:rsid w:val="00E97C6B"/>
    <w:rsid w:val="00EA298B"/>
    <w:rsid w:val="00EB0118"/>
    <w:rsid w:val="00ED08FF"/>
    <w:rsid w:val="00EE3D14"/>
    <w:rsid w:val="00F0168B"/>
    <w:rsid w:val="00F05204"/>
    <w:rsid w:val="00F1214F"/>
    <w:rsid w:val="00F31403"/>
    <w:rsid w:val="00F37A17"/>
    <w:rsid w:val="00F41F1C"/>
    <w:rsid w:val="00F65184"/>
    <w:rsid w:val="00F74D4D"/>
    <w:rsid w:val="00FA1063"/>
    <w:rsid w:val="00FA65EB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F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uiPriority w:val="1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table" w:customStyle="1" w:styleId="42">
    <w:name w:val="Сетка таблицы4"/>
    <w:basedOn w:val="a1"/>
    <w:next w:val="af"/>
    <w:uiPriority w:val="59"/>
    <w:rsid w:val="00E0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Гипертекстовая ссылка"/>
    <w:rsid w:val="00E04F83"/>
    <w:rPr>
      <w:rFonts w:cs="Times New Roman"/>
      <w:b/>
      <w:bCs/>
      <w:color w:val="auto"/>
    </w:rPr>
  </w:style>
  <w:style w:type="numbering" w:customStyle="1" w:styleId="7">
    <w:name w:val="Нет списка7"/>
    <w:next w:val="a2"/>
    <w:uiPriority w:val="99"/>
    <w:semiHidden/>
    <w:unhideWhenUsed/>
    <w:rsid w:val="00021B96"/>
  </w:style>
  <w:style w:type="character" w:customStyle="1" w:styleId="FontStyle14">
    <w:name w:val="Font Style14"/>
    <w:rsid w:val="00021B9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21B96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2F7A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8">
    <w:name w:val="Нет списка8"/>
    <w:next w:val="a2"/>
    <w:uiPriority w:val="99"/>
    <w:semiHidden/>
    <w:rsid w:val="00702F7A"/>
  </w:style>
  <w:style w:type="paragraph" w:customStyle="1" w:styleId="43">
    <w:name w:val="Абзац списка4"/>
    <w:basedOn w:val="a"/>
    <w:rsid w:val="00702F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xl84">
    <w:name w:val="xl84"/>
    <w:basedOn w:val="a"/>
    <w:rsid w:val="00702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702F7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02F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30BD-8388-4366-B24D-899898F6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Asus</cp:lastModifiedBy>
  <cp:revision>50</cp:revision>
  <cp:lastPrinted>2020-12-01T01:31:00Z</cp:lastPrinted>
  <dcterms:created xsi:type="dcterms:W3CDTF">2016-12-28T12:09:00Z</dcterms:created>
  <dcterms:modified xsi:type="dcterms:W3CDTF">2020-12-01T01:31:00Z</dcterms:modified>
</cp:coreProperties>
</file>