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907DDB">
        <w:rPr>
          <w:sz w:val="24"/>
          <w:szCs w:val="24"/>
        </w:rPr>
        <w:t>0</w:t>
      </w:r>
      <w:r w:rsidR="00C544F5">
        <w:rPr>
          <w:sz w:val="24"/>
          <w:szCs w:val="24"/>
        </w:rPr>
        <w:t>8</w:t>
      </w:r>
      <w:r w:rsidR="008611AC">
        <w:rPr>
          <w:sz w:val="24"/>
          <w:szCs w:val="24"/>
        </w:rPr>
        <w:t xml:space="preserve"> </w:t>
      </w:r>
      <w:r w:rsidR="00907DDB">
        <w:rPr>
          <w:sz w:val="24"/>
          <w:szCs w:val="24"/>
        </w:rPr>
        <w:t>апреля</w:t>
      </w:r>
      <w:r w:rsidRPr="0074447F">
        <w:rPr>
          <w:sz w:val="24"/>
          <w:szCs w:val="24"/>
        </w:rPr>
        <w:t xml:space="preserve"> 20</w:t>
      </w:r>
      <w:r w:rsidR="00C544F5">
        <w:rPr>
          <w:sz w:val="24"/>
          <w:szCs w:val="24"/>
        </w:rPr>
        <w:t>20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jc w:val="center"/>
        <w:rPr>
          <w:sz w:val="24"/>
          <w:szCs w:val="24"/>
        </w:rPr>
      </w:pP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07</w:t>
      </w:r>
      <w:r w:rsidRPr="0074447F">
        <w:rPr>
          <w:b/>
          <w:sz w:val="24"/>
          <w:szCs w:val="24"/>
        </w:rPr>
        <w:t>/</w:t>
      </w:r>
      <w:r w:rsidR="00C544F5">
        <w:rPr>
          <w:b/>
          <w:sz w:val="24"/>
          <w:szCs w:val="24"/>
        </w:rPr>
        <w:t>15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483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proofErr w:type="spellStart"/>
      <w:r w:rsidR="00A33B0E">
        <w:rPr>
          <w:b/>
          <w:sz w:val="24"/>
          <w:szCs w:val="24"/>
        </w:rPr>
        <w:t>Замзорского</w:t>
      </w:r>
      <w:proofErr w:type="spellEnd"/>
      <w:r w:rsidR="00CA7403">
        <w:rPr>
          <w:b/>
          <w:sz w:val="24"/>
          <w:szCs w:val="24"/>
        </w:rPr>
        <w:t xml:space="preserve"> муниципального образования </w:t>
      </w:r>
      <w:r w:rsidR="0048393E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48393E">
        <w:rPr>
          <w:b/>
          <w:sz w:val="24"/>
          <w:szCs w:val="24"/>
        </w:rPr>
        <w:t xml:space="preserve"> </w:t>
      </w:r>
      <w:r w:rsidR="00FA4615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201</w:t>
      </w:r>
      <w:r w:rsidR="00C544F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394E6D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</w:t>
      </w:r>
      <w:proofErr w:type="gramStart"/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 w:rsidR="0048393E"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proofErr w:type="spellStart"/>
      <w:r w:rsidR="00A33B0E">
        <w:rPr>
          <w:color w:val="000000" w:themeColor="text1"/>
          <w:sz w:val="24"/>
          <w:szCs w:val="24"/>
        </w:rPr>
        <w:t>Замзорского</w:t>
      </w:r>
      <w:proofErr w:type="spellEnd"/>
      <w:r w:rsidR="009B2F11">
        <w:rPr>
          <w:color w:val="000000" w:themeColor="text1"/>
          <w:sz w:val="24"/>
          <w:szCs w:val="24"/>
        </w:rPr>
        <w:t xml:space="preserve"> муниципального образования за 201</w:t>
      </w:r>
      <w:r w:rsidR="00C544F5">
        <w:rPr>
          <w:color w:val="000000" w:themeColor="text1"/>
          <w:sz w:val="24"/>
          <w:szCs w:val="24"/>
        </w:rPr>
        <w:t>9</w:t>
      </w:r>
      <w:r w:rsidR="009B2F11">
        <w:rPr>
          <w:color w:val="000000" w:themeColor="text1"/>
          <w:sz w:val="24"/>
          <w:szCs w:val="24"/>
        </w:rPr>
        <w:t xml:space="preserve"> год</w:t>
      </w:r>
      <w:r w:rsidR="0048393E"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 xml:space="preserve">и </w:t>
      </w:r>
      <w:r>
        <w:rPr>
          <w:sz w:val="24"/>
          <w:szCs w:val="24"/>
        </w:rPr>
        <w:t>с</w:t>
      </w:r>
      <w:r w:rsidR="00767821">
        <w:rPr>
          <w:sz w:val="24"/>
          <w:szCs w:val="24"/>
        </w:rPr>
        <w:t>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9370C0">
        <w:rPr>
          <w:sz w:val="24"/>
          <w:szCs w:val="24"/>
        </w:rPr>
        <w:t>муниципального образования</w:t>
      </w:r>
      <w:r w:rsidR="00EE61A5">
        <w:rPr>
          <w:sz w:val="24"/>
          <w:szCs w:val="24"/>
        </w:rPr>
        <w:t xml:space="preserve"> по осуществлению внешнего муниципального финансового контроля от </w:t>
      </w:r>
      <w:r w:rsidR="00DF730E">
        <w:rPr>
          <w:sz w:val="24"/>
          <w:szCs w:val="24"/>
        </w:rPr>
        <w:t>04</w:t>
      </w:r>
      <w:r w:rsidR="00EE61A5">
        <w:rPr>
          <w:sz w:val="24"/>
          <w:szCs w:val="24"/>
        </w:rPr>
        <w:t>.</w:t>
      </w:r>
      <w:r w:rsidR="00DF730E">
        <w:rPr>
          <w:sz w:val="24"/>
          <w:szCs w:val="24"/>
        </w:rPr>
        <w:t>05</w:t>
      </w:r>
      <w:r w:rsidR="00EE61A5">
        <w:rPr>
          <w:sz w:val="24"/>
          <w:szCs w:val="24"/>
        </w:rPr>
        <w:t>.201</w:t>
      </w:r>
      <w:r w:rsidR="00DF730E">
        <w:rPr>
          <w:sz w:val="24"/>
          <w:szCs w:val="24"/>
        </w:rPr>
        <w:t>6</w:t>
      </w:r>
      <w:r w:rsidR="00EE61A5">
        <w:rPr>
          <w:sz w:val="24"/>
          <w:szCs w:val="24"/>
        </w:rPr>
        <w:t>г.</w:t>
      </w:r>
    </w:p>
    <w:p w:rsidR="008C33A7" w:rsidRDefault="00394E6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394E6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48393E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48393E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48393E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FA4615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201</w:t>
      </w:r>
      <w:r w:rsidR="00C544F5">
        <w:rPr>
          <w:sz w:val="24"/>
          <w:szCs w:val="24"/>
        </w:rPr>
        <w:t>9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7E74E3">
        <w:rPr>
          <w:sz w:val="24"/>
          <w:szCs w:val="24"/>
        </w:rPr>
        <w:t>2</w:t>
      </w:r>
      <w:r w:rsidR="00907DDB">
        <w:rPr>
          <w:sz w:val="24"/>
          <w:szCs w:val="24"/>
        </w:rPr>
        <w:t>8</w:t>
      </w:r>
      <w:r>
        <w:rPr>
          <w:sz w:val="24"/>
          <w:szCs w:val="24"/>
        </w:rPr>
        <w:t xml:space="preserve"> марта</w:t>
      </w:r>
      <w:r w:rsidR="00D874B8">
        <w:rPr>
          <w:sz w:val="24"/>
          <w:szCs w:val="24"/>
        </w:rPr>
        <w:t xml:space="preserve"> 201</w:t>
      </w:r>
      <w:r w:rsidR="00907DDB">
        <w:rPr>
          <w:sz w:val="24"/>
          <w:szCs w:val="24"/>
        </w:rPr>
        <w:t>8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48393E">
        <w:rPr>
          <w:sz w:val="24"/>
          <w:szCs w:val="24"/>
        </w:rPr>
        <w:t xml:space="preserve">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 xml:space="preserve">муниципального образования – администрации </w:t>
      </w:r>
      <w:r>
        <w:rPr>
          <w:sz w:val="24"/>
          <w:szCs w:val="24"/>
        </w:rPr>
        <w:t>сельского</w:t>
      </w:r>
      <w:r w:rsidR="002E0058">
        <w:rPr>
          <w:sz w:val="24"/>
          <w:szCs w:val="24"/>
        </w:rPr>
        <w:t xml:space="preserve"> поселения.</w:t>
      </w:r>
    </w:p>
    <w:p w:rsidR="008D1E93" w:rsidRPr="002E0058" w:rsidRDefault="00FA4615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 xml:space="preserve">ешением Думы от </w:t>
      </w:r>
      <w:r>
        <w:rPr>
          <w:sz w:val="24"/>
          <w:szCs w:val="24"/>
        </w:rPr>
        <w:t>2</w:t>
      </w:r>
      <w:r w:rsidR="00C544F5">
        <w:rPr>
          <w:sz w:val="24"/>
          <w:szCs w:val="24"/>
        </w:rPr>
        <w:t>7</w:t>
      </w:r>
      <w:r w:rsidR="00393518" w:rsidRPr="002E0058">
        <w:rPr>
          <w:sz w:val="24"/>
          <w:szCs w:val="24"/>
        </w:rPr>
        <w:t>.12.201</w:t>
      </w:r>
      <w:r w:rsidR="00C544F5">
        <w:rPr>
          <w:sz w:val="24"/>
          <w:szCs w:val="24"/>
        </w:rPr>
        <w:t>8</w:t>
      </w:r>
      <w:r w:rsidR="00393518" w:rsidRPr="002E0058">
        <w:rPr>
          <w:sz w:val="24"/>
          <w:szCs w:val="24"/>
        </w:rPr>
        <w:t>г. №</w:t>
      </w:r>
      <w:r w:rsidR="006E2892">
        <w:rPr>
          <w:sz w:val="24"/>
          <w:szCs w:val="24"/>
        </w:rPr>
        <w:t xml:space="preserve"> </w:t>
      </w:r>
      <w:r w:rsidR="00C544F5">
        <w:rPr>
          <w:sz w:val="24"/>
          <w:szCs w:val="24"/>
        </w:rPr>
        <w:t>76</w:t>
      </w:r>
      <w:r w:rsidR="00393518" w:rsidRPr="002E0058">
        <w:rPr>
          <w:sz w:val="24"/>
          <w:szCs w:val="24"/>
        </w:rPr>
        <w:t xml:space="preserve"> «О бюджете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5A09F8">
        <w:rPr>
          <w:sz w:val="24"/>
          <w:szCs w:val="24"/>
        </w:rPr>
        <w:t xml:space="preserve"> </w:t>
      </w:r>
      <w:r w:rsidR="00DA5B05">
        <w:rPr>
          <w:sz w:val="24"/>
          <w:szCs w:val="24"/>
        </w:rPr>
        <w:t>муниципального</w:t>
      </w:r>
      <w:r w:rsidR="00393518" w:rsidRPr="002E0058">
        <w:rPr>
          <w:sz w:val="24"/>
          <w:szCs w:val="24"/>
        </w:rPr>
        <w:t xml:space="preserve"> </w:t>
      </w:r>
      <w:r w:rsidR="00DA5B05">
        <w:rPr>
          <w:sz w:val="24"/>
          <w:szCs w:val="24"/>
        </w:rPr>
        <w:t>образования</w:t>
      </w:r>
      <w:r w:rsidR="00393518" w:rsidRPr="002E0058">
        <w:rPr>
          <w:sz w:val="24"/>
          <w:szCs w:val="24"/>
        </w:rPr>
        <w:t xml:space="preserve"> на 201</w:t>
      </w:r>
      <w:r w:rsidR="00C544F5">
        <w:rPr>
          <w:sz w:val="24"/>
          <w:szCs w:val="24"/>
        </w:rPr>
        <w:t>9</w:t>
      </w:r>
      <w:r w:rsidR="009B5D5A" w:rsidRPr="002E0058">
        <w:rPr>
          <w:sz w:val="24"/>
          <w:szCs w:val="24"/>
        </w:rPr>
        <w:t xml:space="preserve"> год</w:t>
      </w:r>
      <w:r w:rsidR="00725389">
        <w:rPr>
          <w:sz w:val="24"/>
          <w:szCs w:val="24"/>
        </w:rPr>
        <w:t xml:space="preserve"> и на плановый период 20</w:t>
      </w:r>
      <w:r w:rsidR="00C544F5">
        <w:rPr>
          <w:sz w:val="24"/>
          <w:szCs w:val="24"/>
        </w:rPr>
        <w:t>20</w:t>
      </w:r>
      <w:r w:rsidR="00725389">
        <w:rPr>
          <w:sz w:val="24"/>
          <w:szCs w:val="24"/>
        </w:rPr>
        <w:t xml:space="preserve"> и 20</w:t>
      </w:r>
      <w:r w:rsidR="00907DDB">
        <w:rPr>
          <w:sz w:val="24"/>
          <w:szCs w:val="24"/>
        </w:rPr>
        <w:t>2</w:t>
      </w:r>
      <w:r w:rsidR="00C544F5">
        <w:rPr>
          <w:sz w:val="24"/>
          <w:szCs w:val="24"/>
        </w:rPr>
        <w:t>1</w:t>
      </w:r>
      <w:r w:rsidR="00725389">
        <w:rPr>
          <w:sz w:val="24"/>
          <w:szCs w:val="24"/>
        </w:rPr>
        <w:t xml:space="preserve"> годов</w:t>
      </w:r>
      <w:r w:rsidR="00393518" w:rsidRPr="002E00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</w:t>
      </w:r>
      <w:r w:rsidR="00C544F5">
        <w:rPr>
          <w:sz w:val="24"/>
          <w:szCs w:val="24"/>
        </w:rPr>
        <w:t>9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6E2892">
        <w:rPr>
          <w:sz w:val="24"/>
          <w:szCs w:val="24"/>
        </w:rPr>
        <w:t xml:space="preserve"> </w:t>
      </w:r>
      <w:r w:rsidR="00C544F5">
        <w:rPr>
          <w:sz w:val="24"/>
          <w:szCs w:val="24"/>
        </w:rPr>
        <w:t>7114,6</w:t>
      </w:r>
      <w:r w:rsidR="006E2892">
        <w:rPr>
          <w:sz w:val="24"/>
          <w:szCs w:val="24"/>
        </w:rPr>
        <w:t xml:space="preserve">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</w:t>
      </w:r>
      <w:proofErr w:type="spellStart"/>
      <w:r w:rsidR="00AA35A6" w:rsidRPr="003741AA">
        <w:rPr>
          <w:sz w:val="24"/>
          <w:szCs w:val="24"/>
        </w:rPr>
        <w:t>т.ч</w:t>
      </w:r>
      <w:proofErr w:type="spellEnd"/>
      <w:r w:rsidR="00AA35A6" w:rsidRPr="003741AA">
        <w:rPr>
          <w:sz w:val="24"/>
          <w:szCs w:val="24"/>
        </w:rPr>
        <w:t xml:space="preserve">. безвозмездные поступления – </w:t>
      </w:r>
      <w:r w:rsidR="00C544F5">
        <w:rPr>
          <w:sz w:val="24"/>
          <w:szCs w:val="24"/>
        </w:rPr>
        <w:t>3227,9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C544F5">
        <w:rPr>
          <w:sz w:val="24"/>
          <w:szCs w:val="24"/>
        </w:rPr>
        <w:t>7461,3</w:t>
      </w:r>
      <w:r w:rsidR="006E2892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6E2892">
        <w:rPr>
          <w:sz w:val="24"/>
          <w:szCs w:val="24"/>
        </w:rPr>
        <w:t xml:space="preserve"> с размером дефицита бюджета </w:t>
      </w:r>
      <w:r w:rsidR="00C544F5">
        <w:rPr>
          <w:sz w:val="24"/>
          <w:szCs w:val="24"/>
        </w:rPr>
        <w:t>145,8</w:t>
      </w:r>
      <w:r w:rsidR="006E2892">
        <w:rPr>
          <w:sz w:val="24"/>
          <w:szCs w:val="24"/>
        </w:rPr>
        <w:t xml:space="preserve"> </w:t>
      </w:r>
      <w:proofErr w:type="spellStart"/>
      <w:proofErr w:type="gramStart"/>
      <w:r w:rsidR="00D347C2">
        <w:rPr>
          <w:sz w:val="24"/>
          <w:szCs w:val="24"/>
        </w:rPr>
        <w:t>тыс</w:t>
      </w:r>
      <w:proofErr w:type="spellEnd"/>
      <w:proofErr w:type="gramEnd"/>
      <w:r w:rsidR="00E81697">
        <w:rPr>
          <w:sz w:val="24"/>
          <w:szCs w:val="24"/>
        </w:rPr>
        <w:t xml:space="preserve"> </w:t>
      </w:r>
      <w:proofErr w:type="spellStart"/>
      <w:r w:rsidR="00D347C2">
        <w:rPr>
          <w:sz w:val="24"/>
          <w:szCs w:val="24"/>
        </w:rPr>
        <w:t>руб</w:t>
      </w:r>
      <w:proofErr w:type="spellEnd"/>
      <w:r w:rsidR="00D347C2">
        <w:rPr>
          <w:sz w:val="24"/>
          <w:szCs w:val="24"/>
        </w:rPr>
        <w:t xml:space="preserve"> или </w:t>
      </w:r>
      <w:r w:rsidR="00605FB1">
        <w:rPr>
          <w:sz w:val="24"/>
          <w:szCs w:val="24"/>
        </w:rPr>
        <w:t>3,75</w:t>
      </w:r>
      <w:r w:rsidR="00D347C2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финансовой помощи из областного бюджета.</w:t>
      </w:r>
    </w:p>
    <w:p w:rsidR="009B5D5A" w:rsidRPr="009B5D5A" w:rsidRDefault="00FA4615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5D5A" w:rsidRPr="009B5D5A">
        <w:rPr>
          <w:sz w:val="24"/>
          <w:szCs w:val="24"/>
        </w:rPr>
        <w:t>Решением Думы от 2</w:t>
      </w:r>
      <w:r w:rsidR="00907DDB">
        <w:rPr>
          <w:sz w:val="24"/>
          <w:szCs w:val="24"/>
        </w:rPr>
        <w:t>7</w:t>
      </w:r>
      <w:r w:rsidR="009B5D5A" w:rsidRPr="009B5D5A">
        <w:rPr>
          <w:sz w:val="24"/>
          <w:szCs w:val="24"/>
        </w:rPr>
        <w:t>.12.201</w:t>
      </w:r>
      <w:r w:rsidR="00C544F5">
        <w:rPr>
          <w:sz w:val="24"/>
          <w:szCs w:val="24"/>
        </w:rPr>
        <w:t>9</w:t>
      </w:r>
      <w:r w:rsidR="009B5D5A" w:rsidRPr="009B5D5A">
        <w:rPr>
          <w:sz w:val="24"/>
          <w:szCs w:val="24"/>
        </w:rPr>
        <w:t xml:space="preserve">г. № </w:t>
      </w:r>
      <w:r w:rsidR="00C544F5">
        <w:rPr>
          <w:sz w:val="24"/>
          <w:szCs w:val="24"/>
        </w:rPr>
        <w:t>139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</w:t>
      </w:r>
      <w:r w:rsidR="008254CD">
        <w:rPr>
          <w:sz w:val="24"/>
          <w:szCs w:val="24"/>
        </w:rPr>
        <w:lastRenderedPageBreak/>
        <w:t xml:space="preserve">№ </w:t>
      </w:r>
      <w:r w:rsidR="00C544F5">
        <w:rPr>
          <w:sz w:val="24"/>
          <w:szCs w:val="24"/>
        </w:rPr>
        <w:t>76</w:t>
      </w:r>
      <w:r w:rsidR="008254CD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C544F5">
        <w:rPr>
          <w:sz w:val="24"/>
          <w:szCs w:val="24"/>
        </w:rPr>
        <w:t>7</w:t>
      </w:r>
      <w:r w:rsidR="008254CD">
        <w:rPr>
          <w:sz w:val="24"/>
          <w:szCs w:val="24"/>
        </w:rPr>
        <w:t>.12.201</w:t>
      </w:r>
      <w:r w:rsidR="00C544F5">
        <w:rPr>
          <w:sz w:val="24"/>
          <w:szCs w:val="24"/>
        </w:rPr>
        <w:t>8</w:t>
      </w:r>
      <w:r w:rsidR="008254CD">
        <w:rPr>
          <w:sz w:val="24"/>
          <w:szCs w:val="24"/>
        </w:rPr>
        <w:t xml:space="preserve"> года «</w:t>
      </w:r>
      <w:r w:rsidR="009B5D5A" w:rsidRPr="009B5D5A">
        <w:rPr>
          <w:sz w:val="24"/>
          <w:szCs w:val="24"/>
        </w:rPr>
        <w:t xml:space="preserve">О бюджете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DA5B05">
        <w:rPr>
          <w:sz w:val="24"/>
          <w:szCs w:val="24"/>
        </w:rPr>
        <w:t>муниципального образования</w:t>
      </w:r>
      <w:r w:rsidR="009B5D5A" w:rsidRPr="009B5D5A">
        <w:rPr>
          <w:sz w:val="24"/>
          <w:szCs w:val="24"/>
        </w:rPr>
        <w:t xml:space="preserve"> на 201</w:t>
      </w:r>
      <w:r w:rsidR="00C544F5">
        <w:rPr>
          <w:sz w:val="24"/>
          <w:szCs w:val="24"/>
        </w:rPr>
        <w:t>9</w:t>
      </w:r>
      <w:r w:rsidR="009B5D5A" w:rsidRPr="009B5D5A">
        <w:rPr>
          <w:sz w:val="24"/>
          <w:szCs w:val="24"/>
        </w:rPr>
        <w:t xml:space="preserve"> год</w:t>
      </w:r>
      <w:r w:rsidR="006C331D" w:rsidRPr="006C331D">
        <w:rPr>
          <w:sz w:val="24"/>
          <w:szCs w:val="24"/>
        </w:rPr>
        <w:t xml:space="preserve"> </w:t>
      </w:r>
      <w:r w:rsidR="006C331D">
        <w:rPr>
          <w:sz w:val="24"/>
          <w:szCs w:val="24"/>
        </w:rPr>
        <w:t>и на плановый период 20</w:t>
      </w:r>
      <w:r w:rsidR="00C544F5">
        <w:rPr>
          <w:sz w:val="24"/>
          <w:szCs w:val="24"/>
        </w:rPr>
        <w:t>20</w:t>
      </w:r>
      <w:r w:rsidR="006C331D">
        <w:rPr>
          <w:sz w:val="24"/>
          <w:szCs w:val="24"/>
        </w:rPr>
        <w:t xml:space="preserve"> и 20</w:t>
      </w:r>
      <w:r w:rsidR="00907DDB">
        <w:rPr>
          <w:sz w:val="24"/>
          <w:szCs w:val="24"/>
        </w:rPr>
        <w:t>2</w:t>
      </w:r>
      <w:r w:rsidR="00C544F5">
        <w:rPr>
          <w:sz w:val="24"/>
          <w:szCs w:val="24"/>
        </w:rPr>
        <w:t>1</w:t>
      </w:r>
      <w:r w:rsidR="006C331D">
        <w:rPr>
          <w:sz w:val="24"/>
          <w:szCs w:val="24"/>
        </w:rPr>
        <w:t xml:space="preserve"> годов</w:t>
      </w:r>
      <w:r w:rsidR="009B5D5A" w:rsidRPr="009B5D5A">
        <w:rPr>
          <w:sz w:val="24"/>
          <w:szCs w:val="24"/>
        </w:rPr>
        <w:t>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D814D1" w:rsidP="000352CE">
      <w:pPr>
        <w:jc w:val="both"/>
        <w:rPr>
          <w:sz w:val="24"/>
          <w:szCs w:val="24"/>
        </w:rPr>
      </w:pPr>
      <w:proofErr w:type="gramStart"/>
      <w:r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  <w:proofErr w:type="gramEnd"/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41"/>
        <w:gridCol w:w="2028"/>
        <w:gridCol w:w="2694"/>
      </w:tblGrid>
      <w:tr w:rsidR="008254CD" w:rsidRPr="000352CE" w:rsidTr="007C75E6">
        <w:trPr>
          <w:trHeight w:val="1136"/>
        </w:trPr>
        <w:tc>
          <w:tcPr>
            <w:tcW w:w="2268" w:type="dxa"/>
            <w:vAlign w:val="center"/>
          </w:tcPr>
          <w:p w:rsidR="008254CD" w:rsidRPr="00076F23" w:rsidRDefault="008254CD" w:rsidP="007C75E6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8254CD" w:rsidRPr="00076F23" w:rsidRDefault="008254CD" w:rsidP="007C75E6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</w:t>
            </w:r>
            <w:proofErr w:type="gramStart"/>
            <w:r w:rsidRPr="00076F23">
              <w:rPr>
                <w:b/>
              </w:rPr>
              <w:t>от</w:t>
            </w:r>
            <w:proofErr w:type="gramEnd"/>
          </w:p>
          <w:p w:rsidR="008254CD" w:rsidRPr="00076F23" w:rsidRDefault="00FA4615" w:rsidP="007C75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44F5">
              <w:rPr>
                <w:b/>
              </w:rPr>
              <w:t>7</w:t>
            </w:r>
            <w:r w:rsidR="008254CD" w:rsidRPr="00076F23">
              <w:rPr>
                <w:b/>
              </w:rPr>
              <w:t>.12.201</w:t>
            </w:r>
            <w:r w:rsidR="00C544F5">
              <w:rPr>
                <w:b/>
              </w:rPr>
              <w:t>8</w:t>
            </w:r>
            <w:r w:rsidR="008254CD" w:rsidRPr="00076F23">
              <w:rPr>
                <w:b/>
              </w:rPr>
              <w:t xml:space="preserve">г.№ </w:t>
            </w:r>
            <w:r w:rsidR="00C544F5">
              <w:rPr>
                <w:b/>
              </w:rPr>
              <w:t>76</w:t>
            </w:r>
          </w:p>
          <w:p w:rsidR="008254CD" w:rsidRPr="00076F23" w:rsidRDefault="008254CD" w:rsidP="007C75E6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7C75E6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</w:t>
            </w:r>
            <w:proofErr w:type="gramStart"/>
            <w:r w:rsidRPr="00076F23">
              <w:rPr>
                <w:b/>
              </w:rPr>
              <w:t>от</w:t>
            </w:r>
            <w:proofErr w:type="gramEnd"/>
          </w:p>
          <w:p w:rsidR="008254CD" w:rsidRPr="00076F23" w:rsidRDefault="00FA4615" w:rsidP="00C54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7DDB">
              <w:rPr>
                <w:b/>
              </w:rPr>
              <w:t>7</w:t>
            </w:r>
            <w:r w:rsidR="008254CD" w:rsidRPr="00076F23">
              <w:rPr>
                <w:b/>
              </w:rPr>
              <w:t>.</w:t>
            </w:r>
            <w:r w:rsidR="008254CD">
              <w:rPr>
                <w:b/>
              </w:rPr>
              <w:t>12</w:t>
            </w:r>
            <w:r w:rsidR="008254CD" w:rsidRPr="00076F23">
              <w:rPr>
                <w:b/>
              </w:rPr>
              <w:t>.201</w:t>
            </w:r>
            <w:r w:rsidR="00C544F5">
              <w:rPr>
                <w:b/>
              </w:rPr>
              <w:t>9</w:t>
            </w:r>
            <w:r w:rsidR="008254CD" w:rsidRPr="00076F23">
              <w:rPr>
                <w:b/>
              </w:rPr>
              <w:t xml:space="preserve">г.№ </w:t>
            </w:r>
            <w:r w:rsidR="00C544F5">
              <w:rPr>
                <w:b/>
              </w:rPr>
              <w:t>139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701E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proofErr w:type="spellStart"/>
            <w:r w:rsidR="00A33B0E">
              <w:rPr>
                <w:b/>
              </w:rPr>
              <w:t>Замзорского</w:t>
            </w:r>
            <w:proofErr w:type="spellEnd"/>
            <w:r w:rsidR="0048393E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201</w:t>
            </w:r>
            <w:r w:rsidR="00701E29">
              <w:rPr>
                <w:b/>
              </w:rPr>
              <w:t>9</w:t>
            </w:r>
            <w:r>
              <w:rPr>
                <w:b/>
              </w:rPr>
              <w:t>год»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C544F5" w:rsidP="00076F23">
            <w:pPr>
              <w:jc w:val="center"/>
            </w:pPr>
            <w:r>
              <w:t>7114,6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C544F5" w:rsidP="00076F23">
            <w:pPr>
              <w:jc w:val="center"/>
            </w:pPr>
            <w:r>
              <w:t>14304,5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01E29" w:rsidP="003059C4">
            <w:pPr>
              <w:jc w:val="center"/>
            </w:pPr>
            <w:r>
              <w:t>14253,5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Из них безвозмездные:</w:t>
            </w:r>
            <w:proofErr w:type="gramEnd"/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C544F5" w:rsidP="00076F23">
            <w:pPr>
              <w:jc w:val="center"/>
            </w:pPr>
            <w:r>
              <w:t>3227,9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C544F5" w:rsidP="00076F23">
            <w:pPr>
              <w:jc w:val="center"/>
            </w:pPr>
            <w:r>
              <w:t>10814,8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01E29" w:rsidP="006C331D">
            <w:pPr>
              <w:jc w:val="center"/>
            </w:pPr>
            <w:r>
              <w:t>10814,1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C544F5" w:rsidP="00076F23">
            <w:pPr>
              <w:jc w:val="center"/>
            </w:pPr>
            <w:r>
              <w:t>7461,3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C544F5" w:rsidP="00076F23">
            <w:pPr>
              <w:jc w:val="center"/>
            </w:pPr>
            <w:r>
              <w:t>15717,0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01E29" w:rsidP="007C75E6">
            <w:pPr>
              <w:jc w:val="center"/>
            </w:pPr>
            <w:r>
              <w:t>14705,8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Дефицит</w:t>
            </w:r>
            <w:proofErr w:type="gramStart"/>
            <w:r w:rsidRPr="00076F23">
              <w:rPr>
                <w:b/>
              </w:rPr>
              <w:t xml:space="preserve"> </w:t>
            </w:r>
            <w:r w:rsidR="007C75E6">
              <w:rPr>
                <w:b/>
              </w:rPr>
              <w:t>(-)</w:t>
            </w:r>
            <w:proofErr w:type="gramEnd"/>
          </w:p>
          <w:p w:rsidR="007C75E6" w:rsidRPr="00076F23" w:rsidRDefault="007C75E6" w:rsidP="000352CE">
            <w:pPr>
              <w:jc w:val="both"/>
              <w:rPr>
                <w:b/>
              </w:rPr>
            </w:pPr>
            <w:r>
              <w:rPr>
                <w:b/>
              </w:rPr>
              <w:t>Профицит</w:t>
            </w:r>
            <w:proofErr w:type="gramStart"/>
            <w:r>
              <w:rPr>
                <w:b/>
              </w:rPr>
              <w:t xml:space="preserve"> (+)</w:t>
            </w:r>
            <w:proofErr w:type="gramEnd"/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7C75E6" w:rsidP="00C544F5">
            <w:pPr>
              <w:jc w:val="center"/>
            </w:pPr>
            <w:r>
              <w:t>-</w:t>
            </w:r>
            <w:r w:rsidR="00C544F5">
              <w:t>145,8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7C75E6" w:rsidP="00C544F5">
            <w:pPr>
              <w:jc w:val="center"/>
            </w:pPr>
            <w:r>
              <w:t>-</w:t>
            </w:r>
            <w:r w:rsidR="00C544F5">
              <w:t>1412,5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C75E6" w:rsidP="00701E29">
            <w:pPr>
              <w:jc w:val="center"/>
            </w:pPr>
            <w:r>
              <w:t>-</w:t>
            </w:r>
            <w:r w:rsidR="00701E29">
              <w:t>452,2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</w:t>
      </w:r>
      <w:r w:rsidR="00C5078C">
        <w:rPr>
          <w:sz w:val="24"/>
          <w:szCs w:val="24"/>
        </w:rPr>
        <w:t>е</w:t>
      </w:r>
      <w:r w:rsidR="0007117C">
        <w:rPr>
          <w:sz w:val="24"/>
          <w:szCs w:val="24"/>
        </w:rPr>
        <w:t xml:space="preserve"> 201</w:t>
      </w:r>
      <w:r w:rsidR="00C5078C">
        <w:rPr>
          <w:sz w:val="24"/>
          <w:szCs w:val="24"/>
        </w:rPr>
        <w:t>9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значительным </w:t>
      </w:r>
      <w:r w:rsidR="0007117C">
        <w:rPr>
          <w:sz w:val="24"/>
          <w:szCs w:val="24"/>
        </w:rPr>
        <w:t xml:space="preserve">увеличением объемов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proofErr w:type="gramStart"/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C5078C">
        <w:rPr>
          <w:sz w:val="24"/>
          <w:szCs w:val="24"/>
        </w:rPr>
        <w:t>9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C5078C">
        <w:rPr>
          <w:sz w:val="24"/>
          <w:szCs w:val="24"/>
        </w:rPr>
        <w:t>7189,9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C5078C">
        <w:rPr>
          <w:sz w:val="24"/>
          <w:szCs w:val="24"/>
        </w:rPr>
        <w:t>8255,7</w:t>
      </w:r>
      <w:r w:rsidR="006E04FB" w:rsidRPr="00B15C1B">
        <w:rPr>
          <w:sz w:val="24"/>
          <w:szCs w:val="24"/>
        </w:rPr>
        <w:t xml:space="preserve"> тыс. руб.</w:t>
      </w:r>
      <w:proofErr w:type="gramEnd"/>
    </w:p>
    <w:p w:rsidR="00081131" w:rsidRPr="00DC4345" w:rsidRDefault="00CA740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081131" w:rsidRPr="00DC4345">
        <w:rPr>
          <w:sz w:val="24"/>
          <w:szCs w:val="24"/>
        </w:rPr>
        <w:t xml:space="preserve"> МО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48393E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C5078C">
        <w:rPr>
          <w:sz w:val="24"/>
          <w:szCs w:val="24"/>
        </w:rPr>
        <w:t>1281,7</w:t>
      </w:r>
      <w:r w:rsidR="00DC4345">
        <w:rPr>
          <w:sz w:val="24"/>
          <w:szCs w:val="24"/>
        </w:rPr>
        <w:t xml:space="preserve"> 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973844" w:rsidRPr="003E7C1F" w:rsidRDefault="00DF730E" w:rsidP="00DF730E">
      <w:pPr>
        <w:ind w:left="710"/>
        <w:jc w:val="center"/>
        <w:rPr>
          <w:b/>
          <w:i/>
          <w:sz w:val="24"/>
          <w:szCs w:val="24"/>
        </w:rPr>
      </w:pPr>
      <w:r w:rsidRPr="003E7C1F">
        <w:rPr>
          <w:rFonts w:eastAsia="Calibri"/>
          <w:b/>
          <w:i/>
          <w:sz w:val="24"/>
          <w:szCs w:val="24"/>
        </w:rPr>
        <w:t>2.</w:t>
      </w:r>
      <w:r w:rsidR="00973844" w:rsidRPr="003E7C1F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48393E" w:rsidRPr="003E7C1F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A33B0E" w:rsidRPr="003E7C1F">
        <w:rPr>
          <w:b/>
          <w:i/>
          <w:sz w:val="24"/>
          <w:szCs w:val="24"/>
        </w:rPr>
        <w:t>Замзорского</w:t>
      </w:r>
      <w:proofErr w:type="spellEnd"/>
      <w:r w:rsidR="0048393E" w:rsidRPr="003E7C1F">
        <w:rPr>
          <w:b/>
          <w:i/>
          <w:sz w:val="24"/>
          <w:szCs w:val="24"/>
        </w:rPr>
        <w:t xml:space="preserve"> </w:t>
      </w:r>
      <w:r w:rsidR="00444CF5" w:rsidRPr="003E7C1F">
        <w:rPr>
          <w:b/>
          <w:i/>
          <w:sz w:val="24"/>
          <w:szCs w:val="24"/>
        </w:rPr>
        <w:t>муниципального образования</w:t>
      </w:r>
    </w:p>
    <w:p w:rsidR="006248BD" w:rsidRPr="00A53A70" w:rsidRDefault="006248BD" w:rsidP="00707772">
      <w:pPr>
        <w:tabs>
          <w:tab w:val="left" w:pos="747"/>
        </w:tabs>
        <w:jc w:val="both"/>
        <w:outlineLvl w:val="0"/>
        <w:rPr>
          <w:b/>
          <w:color w:val="FF0000"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201</w:t>
      </w:r>
      <w:r w:rsidR="008006E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8006EE">
        <w:rPr>
          <w:sz w:val="24"/>
          <w:szCs w:val="24"/>
        </w:rPr>
        <w:t>14253,5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8006EE">
        <w:rPr>
          <w:sz w:val="24"/>
          <w:szCs w:val="24"/>
        </w:rPr>
        <w:t>3439,4</w:t>
      </w:r>
      <w:r w:rsidR="000D6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при уточненном плане </w:t>
      </w:r>
      <w:r w:rsidR="008006EE">
        <w:rPr>
          <w:sz w:val="24"/>
          <w:szCs w:val="24"/>
        </w:rPr>
        <w:t>3489,6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8006EE">
        <w:rPr>
          <w:sz w:val="24"/>
          <w:szCs w:val="24"/>
        </w:rPr>
        <w:t>10814,8</w:t>
      </w:r>
      <w:r>
        <w:rPr>
          <w:sz w:val="24"/>
          <w:szCs w:val="24"/>
        </w:rPr>
        <w:t xml:space="preserve"> тыс. руб. при плановых значениях </w:t>
      </w:r>
      <w:r w:rsidR="008006EE">
        <w:rPr>
          <w:sz w:val="24"/>
          <w:szCs w:val="24"/>
        </w:rPr>
        <w:t>10814,1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201</w:t>
      </w:r>
      <w:r w:rsidR="008006EE">
        <w:rPr>
          <w:sz w:val="24"/>
          <w:szCs w:val="24"/>
        </w:rPr>
        <w:t>9</w:t>
      </w:r>
      <w:r w:rsidRPr="00806236">
        <w:rPr>
          <w:sz w:val="24"/>
          <w:szCs w:val="24"/>
        </w:rPr>
        <w:t xml:space="preserve"> году исполнены в сумме </w:t>
      </w:r>
      <w:r w:rsidR="008006EE">
        <w:rPr>
          <w:sz w:val="24"/>
          <w:szCs w:val="24"/>
        </w:rPr>
        <w:t>3439,4</w:t>
      </w:r>
      <w:r w:rsidR="00C216F8">
        <w:rPr>
          <w:sz w:val="24"/>
          <w:szCs w:val="24"/>
        </w:rPr>
        <w:t xml:space="preserve"> </w:t>
      </w:r>
      <w:proofErr w:type="spellStart"/>
      <w:r w:rsidRPr="00806236">
        <w:rPr>
          <w:sz w:val="24"/>
          <w:szCs w:val="24"/>
        </w:rPr>
        <w:t>тыс</w:t>
      </w:r>
      <w:proofErr w:type="gramStart"/>
      <w:r w:rsidRPr="00806236">
        <w:rPr>
          <w:sz w:val="24"/>
          <w:szCs w:val="24"/>
        </w:rPr>
        <w:t>.р</w:t>
      </w:r>
      <w:proofErr w:type="gramEnd"/>
      <w:r w:rsidRPr="00806236">
        <w:rPr>
          <w:sz w:val="24"/>
          <w:szCs w:val="24"/>
        </w:rPr>
        <w:t>уб</w:t>
      </w:r>
      <w:proofErr w:type="spellEnd"/>
      <w:r w:rsidRPr="00806236">
        <w:rPr>
          <w:sz w:val="24"/>
          <w:szCs w:val="24"/>
        </w:rPr>
        <w:t>. (</w:t>
      </w:r>
      <w:r w:rsidR="008006EE">
        <w:rPr>
          <w:sz w:val="24"/>
          <w:szCs w:val="24"/>
        </w:rPr>
        <w:t>99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Pr="002B0561">
        <w:rPr>
          <w:sz w:val="24"/>
          <w:szCs w:val="24"/>
        </w:rPr>
        <w:t xml:space="preserve">Необходимо отметить, что объем указанных доходов бюджета </w:t>
      </w:r>
      <w:r w:rsidR="007C75E6">
        <w:rPr>
          <w:sz w:val="24"/>
          <w:szCs w:val="24"/>
        </w:rPr>
        <w:t>у</w:t>
      </w:r>
      <w:r w:rsidR="008006EE">
        <w:rPr>
          <w:sz w:val="24"/>
          <w:szCs w:val="24"/>
        </w:rPr>
        <w:t>меньшился</w:t>
      </w:r>
      <w:r w:rsidR="007C75E6">
        <w:rPr>
          <w:sz w:val="24"/>
          <w:szCs w:val="24"/>
        </w:rPr>
        <w:t xml:space="preserve"> на </w:t>
      </w:r>
      <w:r w:rsidR="008006EE">
        <w:rPr>
          <w:sz w:val="24"/>
          <w:szCs w:val="24"/>
        </w:rPr>
        <w:t>13</w:t>
      </w:r>
      <w:r w:rsidR="007C75E6">
        <w:rPr>
          <w:sz w:val="24"/>
          <w:szCs w:val="24"/>
        </w:rPr>
        <w:t>%</w:t>
      </w:r>
      <w:r w:rsidRPr="002B0561">
        <w:rPr>
          <w:sz w:val="24"/>
          <w:szCs w:val="24"/>
        </w:rPr>
        <w:t xml:space="preserve"> </w:t>
      </w:r>
      <w:proofErr w:type="gramStart"/>
      <w:r w:rsidRPr="002B0561">
        <w:rPr>
          <w:sz w:val="24"/>
          <w:szCs w:val="24"/>
        </w:rPr>
        <w:t>на</w:t>
      </w:r>
      <w:proofErr w:type="gramEnd"/>
      <w:r w:rsidRPr="00C67932">
        <w:rPr>
          <w:sz w:val="24"/>
          <w:szCs w:val="24"/>
        </w:rPr>
        <w:t xml:space="preserve"> </w:t>
      </w:r>
      <w:r w:rsidRPr="002B0561">
        <w:rPr>
          <w:sz w:val="24"/>
          <w:szCs w:val="24"/>
        </w:rPr>
        <w:t xml:space="preserve"> </w:t>
      </w:r>
      <w:proofErr w:type="gramStart"/>
      <w:r w:rsidRPr="002B0561">
        <w:rPr>
          <w:sz w:val="24"/>
          <w:szCs w:val="24"/>
        </w:rPr>
        <w:t>к</w:t>
      </w:r>
      <w:proofErr w:type="gramEnd"/>
      <w:r w:rsidRPr="002B0561">
        <w:rPr>
          <w:sz w:val="24"/>
          <w:szCs w:val="24"/>
        </w:rPr>
        <w:t xml:space="preserve"> уровню 201</w:t>
      </w:r>
      <w:r w:rsidR="008006EE">
        <w:rPr>
          <w:sz w:val="24"/>
          <w:szCs w:val="24"/>
        </w:rPr>
        <w:t>8</w:t>
      </w:r>
      <w:r w:rsidR="00D35437">
        <w:rPr>
          <w:sz w:val="24"/>
          <w:szCs w:val="24"/>
        </w:rPr>
        <w:t xml:space="preserve"> года</w:t>
      </w:r>
      <w:r w:rsidR="002B0561" w:rsidRPr="002B0561">
        <w:rPr>
          <w:sz w:val="24"/>
          <w:szCs w:val="24"/>
        </w:rPr>
        <w:t>.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504B61">
        <w:rPr>
          <w:i/>
          <w:sz w:val="24"/>
          <w:szCs w:val="24"/>
          <w:u w:val="single"/>
        </w:rPr>
        <w:t>Налоговые доходы</w:t>
      </w:r>
      <w:r w:rsidRPr="00AB5858">
        <w:rPr>
          <w:sz w:val="24"/>
          <w:szCs w:val="24"/>
        </w:rPr>
        <w:t xml:space="preserve"> сформированы на </w:t>
      </w:r>
      <w:r w:rsidR="000A60EC">
        <w:rPr>
          <w:sz w:val="24"/>
          <w:szCs w:val="24"/>
        </w:rPr>
        <w:t>49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0A60EC">
        <w:rPr>
          <w:sz w:val="24"/>
          <w:szCs w:val="24"/>
        </w:rPr>
        <w:t>1677,6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C153AA">
        <w:rPr>
          <w:sz w:val="24"/>
          <w:szCs w:val="24"/>
        </w:rPr>
        <w:t xml:space="preserve">, </w:t>
      </w:r>
      <w:r w:rsidR="000A60EC">
        <w:rPr>
          <w:sz w:val="24"/>
          <w:szCs w:val="24"/>
        </w:rPr>
        <w:t>43</w:t>
      </w:r>
      <w:r w:rsidR="00C153AA">
        <w:rPr>
          <w:sz w:val="24"/>
          <w:szCs w:val="24"/>
        </w:rPr>
        <w:t>%</w:t>
      </w:r>
      <w:r w:rsidR="001A2025">
        <w:rPr>
          <w:sz w:val="24"/>
          <w:szCs w:val="24"/>
        </w:rPr>
        <w:t xml:space="preserve"> (</w:t>
      </w:r>
      <w:r w:rsidR="000A60EC">
        <w:rPr>
          <w:sz w:val="24"/>
          <w:szCs w:val="24"/>
        </w:rPr>
        <w:t>1463,3</w:t>
      </w:r>
      <w:r w:rsidR="001A2025">
        <w:rPr>
          <w:sz w:val="24"/>
          <w:szCs w:val="24"/>
        </w:rPr>
        <w:t xml:space="preserve"> </w:t>
      </w:r>
      <w:proofErr w:type="spellStart"/>
      <w:proofErr w:type="gramStart"/>
      <w:r w:rsidR="001A2025">
        <w:rPr>
          <w:sz w:val="24"/>
          <w:szCs w:val="24"/>
        </w:rPr>
        <w:t>тыс</w:t>
      </w:r>
      <w:proofErr w:type="spellEnd"/>
      <w:proofErr w:type="gramEnd"/>
      <w:r w:rsidR="00E81697">
        <w:rPr>
          <w:sz w:val="24"/>
          <w:szCs w:val="24"/>
        </w:rPr>
        <w:t xml:space="preserve"> </w:t>
      </w:r>
      <w:proofErr w:type="spellStart"/>
      <w:r w:rsidR="001A2025">
        <w:rPr>
          <w:sz w:val="24"/>
          <w:szCs w:val="24"/>
        </w:rPr>
        <w:t>руб</w:t>
      </w:r>
      <w:proofErr w:type="spellEnd"/>
      <w:r w:rsidR="001A2025">
        <w:rPr>
          <w:sz w:val="24"/>
          <w:szCs w:val="24"/>
        </w:rPr>
        <w:t>)</w:t>
      </w:r>
      <w:r w:rsidR="00C153AA">
        <w:rPr>
          <w:sz w:val="24"/>
          <w:szCs w:val="24"/>
        </w:rPr>
        <w:t xml:space="preserve"> приходится на поступление от уплаты акцизов</w:t>
      </w:r>
      <w:r w:rsidR="001A2025">
        <w:rPr>
          <w:sz w:val="24"/>
          <w:szCs w:val="24"/>
        </w:rPr>
        <w:t xml:space="preserve"> на дизельное топливо, моторные масла и автомобильный бензин</w:t>
      </w:r>
      <w:r w:rsidR="00D35437">
        <w:rPr>
          <w:sz w:val="24"/>
          <w:szCs w:val="24"/>
        </w:rPr>
        <w:t>, налога на имущество –</w:t>
      </w:r>
      <w:r w:rsidR="000A60EC">
        <w:rPr>
          <w:sz w:val="24"/>
          <w:szCs w:val="24"/>
        </w:rPr>
        <w:t xml:space="preserve">8% </w:t>
      </w:r>
      <w:r w:rsidR="00D35437">
        <w:rPr>
          <w:sz w:val="24"/>
          <w:szCs w:val="24"/>
        </w:rPr>
        <w:t xml:space="preserve"> </w:t>
      </w:r>
      <w:r w:rsidR="000A60EC">
        <w:rPr>
          <w:sz w:val="24"/>
          <w:szCs w:val="24"/>
        </w:rPr>
        <w:t>281,1</w:t>
      </w:r>
      <w:r w:rsidR="00D35437">
        <w:rPr>
          <w:sz w:val="24"/>
          <w:szCs w:val="24"/>
        </w:rPr>
        <w:t xml:space="preserve"> </w:t>
      </w:r>
      <w:proofErr w:type="spellStart"/>
      <w:r w:rsidR="00D35437">
        <w:rPr>
          <w:sz w:val="24"/>
          <w:szCs w:val="24"/>
        </w:rPr>
        <w:t>тыс</w:t>
      </w:r>
      <w:proofErr w:type="spellEnd"/>
      <w:r w:rsidR="00D35437">
        <w:rPr>
          <w:sz w:val="24"/>
          <w:szCs w:val="24"/>
        </w:rPr>
        <w:t xml:space="preserve"> рублей</w:t>
      </w:r>
      <w:r w:rsidR="000A60EC">
        <w:rPr>
          <w:sz w:val="24"/>
          <w:szCs w:val="24"/>
        </w:rPr>
        <w:t>.</w:t>
      </w:r>
    </w:p>
    <w:p w:rsidR="00CD5218" w:rsidRPr="008C473C" w:rsidRDefault="003B264A" w:rsidP="00504B61">
      <w:pPr>
        <w:jc w:val="both"/>
        <w:rPr>
          <w:sz w:val="24"/>
          <w:szCs w:val="24"/>
        </w:rPr>
      </w:pPr>
      <w:r w:rsidRPr="003B264A">
        <w:rPr>
          <w:i/>
          <w:sz w:val="24"/>
          <w:szCs w:val="24"/>
        </w:rPr>
        <w:t xml:space="preserve">           </w:t>
      </w:r>
      <w:r w:rsidR="006248BD" w:rsidRPr="00DF3081">
        <w:rPr>
          <w:i/>
          <w:sz w:val="24"/>
          <w:szCs w:val="24"/>
          <w:u w:val="single"/>
        </w:rPr>
        <w:t>Неналоговые доходы</w:t>
      </w:r>
      <w:r w:rsidR="00E81697">
        <w:rPr>
          <w:i/>
          <w:sz w:val="24"/>
          <w:szCs w:val="24"/>
          <w:u w:val="single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</w:t>
      </w:r>
      <w:r w:rsidR="00A43462">
        <w:rPr>
          <w:sz w:val="24"/>
          <w:szCs w:val="24"/>
        </w:rPr>
        <w:t xml:space="preserve">поступлений </w:t>
      </w:r>
      <w:r w:rsidR="00504B61">
        <w:rPr>
          <w:sz w:val="24"/>
          <w:szCs w:val="24"/>
        </w:rPr>
        <w:t>оплаты государственной пошлины</w:t>
      </w:r>
      <w:r w:rsidR="00D42D1B">
        <w:rPr>
          <w:sz w:val="24"/>
          <w:szCs w:val="24"/>
        </w:rPr>
        <w:t xml:space="preserve"> (</w:t>
      </w:r>
      <w:r w:rsidR="000A60EC">
        <w:rPr>
          <w:sz w:val="24"/>
          <w:szCs w:val="24"/>
        </w:rPr>
        <w:t>4,3</w:t>
      </w:r>
      <w:r w:rsidR="00D42D1B">
        <w:rPr>
          <w:sz w:val="24"/>
          <w:szCs w:val="24"/>
        </w:rPr>
        <w:t xml:space="preserve"> </w:t>
      </w:r>
      <w:proofErr w:type="spellStart"/>
      <w:proofErr w:type="gramStart"/>
      <w:r w:rsidR="00D42D1B">
        <w:rPr>
          <w:sz w:val="24"/>
          <w:szCs w:val="24"/>
        </w:rPr>
        <w:t>тыс</w:t>
      </w:r>
      <w:proofErr w:type="spellEnd"/>
      <w:proofErr w:type="gramEnd"/>
      <w:r w:rsidR="00D42D1B">
        <w:rPr>
          <w:sz w:val="24"/>
          <w:szCs w:val="24"/>
        </w:rPr>
        <w:t xml:space="preserve"> рублей), доходов от оказания платных услуг – </w:t>
      </w:r>
      <w:r w:rsidR="000A60EC">
        <w:rPr>
          <w:sz w:val="24"/>
          <w:szCs w:val="24"/>
        </w:rPr>
        <w:t>13,1</w:t>
      </w:r>
      <w:r w:rsidR="00D42D1B">
        <w:rPr>
          <w:sz w:val="24"/>
          <w:szCs w:val="24"/>
        </w:rPr>
        <w:t xml:space="preserve"> </w:t>
      </w:r>
      <w:proofErr w:type="spellStart"/>
      <w:r w:rsidR="00D42D1B">
        <w:rPr>
          <w:sz w:val="24"/>
          <w:szCs w:val="24"/>
        </w:rPr>
        <w:t>тыс</w:t>
      </w:r>
      <w:proofErr w:type="spellEnd"/>
      <w:r w:rsidR="00D42D1B">
        <w:rPr>
          <w:sz w:val="24"/>
          <w:szCs w:val="24"/>
        </w:rPr>
        <w:t xml:space="preserve"> руб</w:t>
      </w:r>
      <w:r w:rsidR="00504B61">
        <w:rPr>
          <w:sz w:val="24"/>
          <w:szCs w:val="24"/>
        </w:rPr>
        <w:t>. В 201</w:t>
      </w:r>
      <w:r w:rsidR="000A60EC">
        <w:rPr>
          <w:sz w:val="24"/>
          <w:szCs w:val="24"/>
        </w:rPr>
        <w:t>9</w:t>
      </w:r>
      <w:r w:rsidR="00504B61">
        <w:rPr>
          <w:sz w:val="24"/>
          <w:szCs w:val="24"/>
        </w:rPr>
        <w:t xml:space="preserve"> году</w:t>
      </w:r>
      <w:r w:rsidR="000A60EC">
        <w:rPr>
          <w:sz w:val="24"/>
          <w:szCs w:val="24"/>
        </w:rPr>
        <w:t xml:space="preserve"> неналоговых доходов</w:t>
      </w:r>
      <w:r w:rsidR="00504B61">
        <w:rPr>
          <w:sz w:val="24"/>
          <w:szCs w:val="24"/>
        </w:rPr>
        <w:t xml:space="preserve"> поступило </w:t>
      </w:r>
      <w:r w:rsidR="000A60EC">
        <w:rPr>
          <w:sz w:val="24"/>
          <w:szCs w:val="24"/>
        </w:rPr>
        <w:t>17,4</w:t>
      </w:r>
      <w:r w:rsidR="00C216F8">
        <w:rPr>
          <w:sz w:val="24"/>
          <w:szCs w:val="24"/>
        </w:rPr>
        <w:t xml:space="preserve"> </w:t>
      </w:r>
      <w:proofErr w:type="spellStart"/>
      <w:r w:rsidR="00504B61">
        <w:rPr>
          <w:sz w:val="24"/>
          <w:szCs w:val="24"/>
        </w:rPr>
        <w:t>тыс</w:t>
      </w:r>
      <w:proofErr w:type="spellEnd"/>
      <w:r w:rsidR="00C216F8">
        <w:rPr>
          <w:sz w:val="24"/>
          <w:szCs w:val="24"/>
        </w:rPr>
        <w:t xml:space="preserve"> </w:t>
      </w:r>
      <w:proofErr w:type="spellStart"/>
      <w:r w:rsidR="00504B61">
        <w:rPr>
          <w:sz w:val="24"/>
          <w:szCs w:val="24"/>
        </w:rPr>
        <w:t>руб</w:t>
      </w:r>
      <w:proofErr w:type="spellEnd"/>
      <w:r w:rsidR="00504B61">
        <w:rPr>
          <w:sz w:val="24"/>
          <w:szCs w:val="24"/>
        </w:rPr>
        <w:t xml:space="preserve">, что составило </w:t>
      </w:r>
      <w:r w:rsidR="00D42D1B">
        <w:rPr>
          <w:sz w:val="24"/>
          <w:szCs w:val="24"/>
        </w:rPr>
        <w:t>100</w:t>
      </w:r>
      <w:r w:rsidR="00504B61">
        <w:rPr>
          <w:sz w:val="24"/>
          <w:szCs w:val="24"/>
        </w:rPr>
        <w:t>% от плана</w:t>
      </w:r>
      <w:r w:rsidR="00D42D1B">
        <w:rPr>
          <w:sz w:val="24"/>
          <w:szCs w:val="24"/>
        </w:rPr>
        <w:t>.</w:t>
      </w:r>
      <w:r w:rsidR="001A2025">
        <w:rPr>
          <w:sz w:val="24"/>
          <w:szCs w:val="24"/>
        </w:rPr>
        <w:t xml:space="preserve"> 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</w:t>
      </w:r>
      <w:r w:rsidR="00675A9F">
        <w:rPr>
          <w:rFonts w:eastAsia="Calibri"/>
          <w:sz w:val="24"/>
          <w:szCs w:val="24"/>
        </w:rPr>
        <w:t>9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675A9F">
        <w:rPr>
          <w:rFonts w:eastAsia="Calibri"/>
          <w:sz w:val="24"/>
          <w:szCs w:val="24"/>
        </w:rPr>
        <w:t>76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675A9F">
        <w:rPr>
          <w:rFonts w:eastAsia="Calibri"/>
          <w:sz w:val="24"/>
          <w:szCs w:val="24"/>
        </w:rPr>
        <w:t>10814,1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proofErr w:type="spellStart"/>
      <w:r w:rsidR="00A33B0E">
        <w:rPr>
          <w:b/>
          <w:sz w:val="24"/>
          <w:szCs w:val="24"/>
        </w:rPr>
        <w:t>Замзорского</w:t>
      </w:r>
      <w:proofErr w:type="spellEnd"/>
      <w:r w:rsidR="0048393E">
        <w:rPr>
          <w:b/>
          <w:sz w:val="24"/>
          <w:szCs w:val="24"/>
        </w:rPr>
        <w:t xml:space="preserve"> </w:t>
      </w:r>
      <w:r w:rsidR="00444CF5">
        <w:rPr>
          <w:b/>
          <w:sz w:val="24"/>
          <w:szCs w:val="24"/>
        </w:rPr>
        <w:t>муниципального образования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201</w:t>
      </w:r>
      <w:r w:rsidR="00B80AD2">
        <w:rPr>
          <w:sz w:val="24"/>
          <w:szCs w:val="24"/>
        </w:rPr>
        <w:t xml:space="preserve">9 </w:t>
      </w:r>
      <w:r w:rsidR="00682126">
        <w:rPr>
          <w:sz w:val="24"/>
          <w:szCs w:val="24"/>
        </w:rPr>
        <w:t xml:space="preserve">год, по расходам составляли в сумме </w:t>
      </w:r>
      <w:r w:rsidR="00B80AD2">
        <w:rPr>
          <w:sz w:val="24"/>
          <w:szCs w:val="24"/>
        </w:rPr>
        <w:t>7461,3</w:t>
      </w:r>
      <w:r w:rsidR="00682126">
        <w:rPr>
          <w:sz w:val="24"/>
          <w:szCs w:val="24"/>
        </w:rPr>
        <w:t xml:space="preserve"> тыс. руб. В процессе исполнения бюджета назначения </w:t>
      </w:r>
      <w:r w:rsidR="00682126">
        <w:rPr>
          <w:sz w:val="24"/>
          <w:szCs w:val="24"/>
        </w:rPr>
        <w:lastRenderedPageBreak/>
        <w:t xml:space="preserve">были увеличены на </w:t>
      </w:r>
      <w:r w:rsidR="00B80AD2">
        <w:rPr>
          <w:sz w:val="24"/>
          <w:szCs w:val="24"/>
        </w:rPr>
        <w:t>8255,7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2E3EB1">
        <w:rPr>
          <w:sz w:val="24"/>
          <w:szCs w:val="24"/>
        </w:rPr>
        <w:t>106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B80AD2">
        <w:rPr>
          <w:sz w:val="24"/>
          <w:szCs w:val="24"/>
        </w:rPr>
        <w:t>15717,0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</w:t>
      </w:r>
      <w:proofErr w:type="gramEnd"/>
      <w:r w:rsidR="00E23642">
        <w:rPr>
          <w:sz w:val="24"/>
          <w:szCs w:val="24"/>
        </w:rPr>
        <w:t xml:space="preserve"> 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</w:t>
      </w:r>
      <w:r w:rsidR="00661A2A">
        <w:rPr>
          <w:sz w:val="24"/>
          <w:szCs w:val="24"/>
        </w:rPr>
        <w:t xml:space="preserve"> </w:t>
      </w:r>
      <w:r w:rsidRPr="00714C12">
        <w:rPr>
          <w:sz w:val="24"/>
          <w:szCs w:val="24"/>
        </w:rPr>
        <w:t>№</w:t>
      </w:r>
      <w:r w:rsidR="00193B8B">
        <w:rPr>
          <w:sz w:val="24"/>
          <w:szCs w:val="24"/>
        </w:rPr>
        <w:t>2</w:t>
      </w:r>
      <w:r w:rsidR="00661A2A">
        <w:rPr>
          <w:sz w:val="24"/>
          <w:szCs w:val="24"/>
        </w:rPr>
        <w:t xml:space="preserve"> </w:t>
      </w:r>
      <w:proofErr w:type="spellStart"/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</w:t>
      </w:r>
      <w:proofErr w:type="gramStart"/>
      <w:r w:rsidR="00693829" w:rsidRPr="00714C12">
        <w:rPr>
          <w:sz w:val="24"/>
          <w:szCs w:val="24"/>
        </w:rPr>
        <w:t>.р</w:t>
      </w:r>
      <w:proofErr w:type="gramEnd"/>
      <w:r w:rsidR="00693829" w:rsidRPr="00714C12">
        <w:rPr>
          <w:sz w:val="24"/>
          <w:szCs w:val="24"/>
        </w:rPr>
        <w:t>ублей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507A2C">
        <w:trPr>
          <w:trHeight w:val="740"/>
        </w:trPr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3C0D33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</w:t>
            </w:r>
            <w:r w:rsidR="003C0D33">
              <w:rPr>
                <w:b/>
              </w:rPr>
              <w:t>9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proofErr w:type="spellStart"/>
            <w:r w:rsidRPr="00714C12">
              <w:rPr>
                <w:b/>
              </w:rPr>
              <w:t>Фактич</w:t>
            </w:r>
            <w:proofErr w:type="spellEnd"/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proofErr w:type="gramStart"/>
            <w:r w:rsidR="00F20DEC">
              <w:rPr>
                <w:b/>
              </w:rPr>
              <w:t>.</w:t>
            </w:r>
            <w:proofErr w:type="gramEnd"/>
            <w:r w:rsidR="002E3EB1">
              <w:rPr>
                <w:b/>
              </w:rPr>
              <w:t xml:space="preserve"> </w:t>
            </w:r>
            <w:proofErr w:type="gramStart"/>
            <w:r w:rsidRPr="00714C12">
              <w:rPr>
                <w:b/>
              </w:rPr>
              <w:t>б</w:t>
            </w:r>
            <w:proofErr w:type="gramEnd"/>
            <w:r w:rsidRPr="00714C12">
              <w:rPr>
                <w:b/>
              </w:rPr>
              <w:t>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507A2C" w:rsidP="00FE0CB1">
            <w:pPr>
              <w:jc w:val="center"/>
              <w:rPr>
                <w:b/>
              </w:rPr>
            </w:pPr>
            <w:r>
              <w:rPr>
                <w:b/>
              </w:rPr>
              <w:t>6469,9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507A2C" w:rsidP="00224981">
            <w:pPr>
              <w:jc w:val="center"/>
              <w:rPr>
                <w:b/>
              </w:rPr>
            </w:pPr>
            <w:r>
              <w:rPr>
                <w:b/>
              </w:rPr>
              <w:t>6469,2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2E3EB1" w:rsidP="00FE0CB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D50DA9" w:rsidP="0020695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507A2C" w:rsidP="00FE0CB1">
            <w:pPr>
              <w:jc w:val="center"/>
            </w:pPr>
            <w:r>
              <w:t>1071,3</w:t>
            </w:r>
          </w:p>
        </w:tc>
        <w:tc>
          <w:tcPr>
            <w:tcW w:w="1276" w:type="dxa"/>
            <w:vAlign w:val="center"/>
          </w:tcPr>
          <w:p w:rsidR="009A30CB" w:rsidRPr="00714C12" w:rsidRDefault="00507A2C" w:rsidP="00FE0CB1">
            <w:pPr>
              <w:jc w:val="center"/>
            </w:pPr>
            <w:r>
              <w:t>1071,3</w:t>
            </w:r>
          </w:p>
        </w:tc>
        <w:tc>
          <w:tcPr>
            <w:tcW w:w="1276" w:type="dxa"/>
            <w:vAlign w:val="center"/>
          </w:tcPr>
          <w:p w:rsidR="009A30CB" w:rsidRPr="00714C12" w:rsidRDefault="00296062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507A2C" w:rsidP="00A9203C">
            <w:pPr>
              <w:jc w:val="center"/>
            </w:pPr>
            <w:r>
              <w:t>5395,3</w:t>
            </w:r>
          </w:p>
        </w:tc>
        <w:tc>
          <w:tcPr>
            <w:tcW w:w="1276" w:type="dxa"/>
            <w:vAlign w:val="center"/>
          </w:tcPr>
          <w:p w:rsidR="00552A12" w:rsidRPr="00714C12" w:rsidRDefault="00507A2C" w:rsidP="00A9203C">
            <w:pPr>
              <w:jc w:val="center"/>
            </w:pPr>
            <w:r>
              <w:t>5395,3</w:t>
            </w:r>
          </w:p>
        </w:tc>
        <w:tc>
          <w:tcPr>
            <w:tcW w:w="1276" w:type="dxa"/>
            <w:vAlign w:val="center"/>
          </w:tcPr>
          <w:p w:rsidR="00552A12" w:rsidRPr="00714C12" w:rsidRDefault="002E3EB1" w:rsidP="00296062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C0403E" w:rsidRPr="00714C12" w:rsidTr="004976F0">
        <w:tc>
          <w:tcPr>
            <w:tcW w:w="991" w:type="dxa"/>
          </w:tcPr>
          <w:p w:rsidR="00C0403E" w:rsidRDefault="00C0403E" w:rsidP="004976F0">
            <w:pPr>
              <w:jc w:val="center"/>
            </w:pPr>
            <w:r>
              <w:t>01.07</w:t>
            </w:r>
          </w:p>
        </w:tc>
        <w:tc>
          <w:tcPr>
            <w:tcW w:w="3687" w:type="dxa"/>
          </w:tcPr>
          <w:p w:rsidR="00C0403E" w:rsidRDefault="00C0403E" w:rsidP="001D0B8B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C0403E" w:rsidRDefault="002E3EB1" w:rsidP="00A36D0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0403E" w:rsidRDefault="002E3EB1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0403E" w:rsidRDefault="002E3EB1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0403E" w:rsidRPr="00714C12" w:rsidRDefault="00C0403E" w:rsidP="004F768E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507A2C" w:rsidP="00A36D0A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507A2C" w:rsidP="009672CD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DB566B" w:rsidRPr="00714C12" w:rsidRDefault="00507A2C" w:rsidP="009672CD">
            <w:pPr>
              <w:jc w:val="center"/>
            </w:pPr>
            <w:r>
              <w:t>2,6</w:t>
            </w:r>
          </w:p>
        </w:tc>
        <w:tc>
          <w:tcPr>
            <w:tcW w:w="1276" w:type="dxa"/>
            <w:vAlign w:val="center"/>
          </w:tcPr>
          <w:p w:rsidR="00DB566B" w:rsidRPr="00714C12" w:rsidRDefault="00507A2C" w:rsidP="004F768E">
            <w:pPr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507A2C" w:rsidP="00A36D0A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507A2C" w:rsidP="00A36D0A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A629AF" w:rsidP="009F794B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507A2C" w:rsidP="00A36D0A">
            <w:pPr>
              <w:jc w:val="center"/>
            </w:pPr>
            <w:r>
              <w:t>115,1</w:t>
            </w:r>
          </w:p>
        </w:tc>
        <w:tc>
          <w:tcPr>
            <w:tcW w:w="1276" w:type="dxa"/>
            <w:vAlign w:val="center"/>
          </w:tcPr>
          <w:p w:rsidR="00F20CC4" w:rsidRPr="00714C12" w:rsidRDefault="00507A2C" w:rsidP="00A36D0A">
            <w:pPr>
              <w:jc w:val="center"/>
            </w:pPr>
            <w:r>
              <w:t>115,1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507A2C" w:rsidP="00922059">
            <w:pPr>
              <w:jc w:val="center"/>
              <w:rPr>
                <w:b/>
              </w:rPr>
            </w:pPr>
            <w:r>
              <w:rPr>
                <w:b/>
              </w:rPr>
              <w:t>421,5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507A2C" w:rsidP="00922059">
            <w:pPr>
              <w:jc w:val="center"/>
              <w:rPr>
                <w:b/>
              </w:rPr>
            </w:pPr>
            <w:r>
              <w:rPr>
                <w:b/>
              </w:rPr>
              <w:t>421,5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1A2025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D50DA9" w:rsidP="00922059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36D0A" w:rsidRPr="00714C12" w:rsidRDefault="00A36D0A" w:rsidP="00A36D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507A2C" w:rsidP="00922059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:rsidR="00A50E6C" w:rsidRPr="00714C12" w:rsidRDefault="00507A2C" w:rsidP="00922059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:rsidR="00A50E6C" w:rsidRPr="00714C12" w:rsidRDefault="009C16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A36D0A" w:rsidRPr="00714C12" w:rsidTr="004976F0">
        <w:tc>
          <w:tcPr>
            <w:tcW w:w="991" w:type="dxa"/>
          </w:tcPr>
          <w:p w:rsidR="00A36D0A" w:rsidRDefault="00A36D0A" w:rsidP="004976F0">
            <w:pPr>
              <w:jc w:val="center"/>
            </w:pPr>
            <w:r>
              <w:t>03.10</w:t>
            </w: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  <w:r w:rsidRPr="00A36D0A">
              <w:t>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A36D0A" w:rsidRDefault="00507A2C" w:rsidP="00922059">
            <w:pPr>
              <w:jc w:val="center"/>
            </w:pPr>
            <w:r>
              <w:t>421,3</w:t>
            </w:r>
          </w:p>
        </w:tc>
        <w:tc>
          <w:tcPr>
            <w:tcW w:w="1276" w:type="dxa"/>
            <w:vAlign w:val="center"/>
          </w:tcPr>
          <w:p w:rsidR="00A36D0A" w:rsidRDefault="00507A2C" w:rsidP="00507A2C">
            <w:pPr>
              <w:jc w:val="center"/>
            </w:pPr>
            <w:r>
              <w:t>421,3</w:t>
            </w:r>
          </w:p>
        </w:tc>
        <w:tc>
          <w:tcPr>
            <w:tcW w:w="1276" w:type="dxa"/>
            <w:vAlign w:val="center"/>
          </w:tcPr>
          <w:p w:rsidR="00A36D0A" w:rsidRDefault="00AA6B30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507A2C" w:rsidP="00DB180A">
            <w:pPr>
              <w:jc w:val="center"/>
              <w:rPr>
                <w:b/>
              </w:rPr>
            </w:pPr>
            <w:r>
              <w:rPr>
                <w:b/>
              </w:rPr>
              <w:t>2172,8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507A2C" w:rsidP="004E3E85">
            <w:pPr>
              <w:jc w:val="center"/>
              <w:rPr>
                <w:b/>
              </w:rPr>
            </w:pPr>
            <w:r>
              <w:rPr>
                <w:b/>
              </w:rPr>
              <w:t>2003,7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026F3C" w:rsidP="00026F3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D50DA9" w:rsidP="00AB7D2F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507A2C" w:rsidP="00922059">
            <w:pPr>
              <w:jc w:val="center"/>
            </w:pPr>
            <w:r>
              <w:t>1974,8</w:t>
            </w:r>
          </w:p>
        </w:tc>
        <w:tc>
          <w:tcPr>
            <w:tcW w:w="1276" w:type="dxa"/>
            <w:vAlign w:val="center"/>
          </w:tcPr>
          <w:p w:rsidR="00500E02" w:rsidRPr="00714C12" w:rsidRDefault="00026F3C" w:rsidP="002D5CB8">
            <w:pPr>
              <w:jc w:val="center"/>
            </w:pPr>
            <w:r>
              <w:t>1805,7</w:t>
            </w:r>
          </w:p>
        </w:tc>
        <w:tc>
          <w:tcPr>
            <w:tcW w:w="1276" w:type="dxa"/>
            <w:vAlign w:val="center"/>
          </w:tcPr>
          <w:p w:rsidR="00500E02" w:rsidRPr="00714C12" w:rsidRDefault="00026F3C" w:rsidP="00A629AF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507A2C" w:rsidP="009C16DD">
            <w:pPr>
              <w:jc w:val="center"/>
            </w:pPr>
            <w:r>
              <w:t>198,0</w:t>
            </w:r>
          </w:p>
        </w:tc>
        <w:tc>
          <w:tcPr>
            <w:tcW w:w="1276" w:type="dxa"/>
            <w:vAlign w:val="center"/>
          </w:tcPr>
          <w:p w:rsidR="00500E02" w:rsidRPr="00714C12" w:rsidRDefault="00026F3C" w:rsidP="002D5CB8">
            <w:pPr>
              <w:jc w:val="center"/>
            </w:pPr>
            <w:r>
              <w:t>198,0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026F3C" w:rsidP="00922059">
            <w:pPr>
              <w:jc w:val="center"/>
              <w:rPr>
                <w:b/>
              </w:rPr>
            </w:pPr>
            <w:r>
              <w:rPr>
                <w:b/>
              </w:rPr>
              <w:t>2480,5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026F3C" w:rsidP="002D5CB8">
            <w:pPr>
              <w:jc w:val="center"/>
              <w:rPr>
                <w:b/>
              </w:rPr>
            </w:pPr>
            <w:r>
              <w:rPr>
                <w:b/>
              </w:rPr>
              <w:t>1639,1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026F3C" w:rsidP="0092205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D50DA9" w:rsidP="00E05115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215E8A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215E8A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026F3C" w:rsidP="002D5CB8">
            <w:pPr>
              <w:jc w:val="center"/>
            </w:pPr>
            <w:r>
              <w:t>2103,7</w:t>
            </w:r>
          </w:p>
        </w:tc>
        <w:tc>
          <w:tcPr>
            <w:tcW w:w="1276" w:type="dxa"/>
            <w:vAlign w:val="center"/>
          </w:tcPr>
          <w:p w:rsidR="008B170C" w:rsidRDefault="00026F3C" w:rsidP="002D5CB8">
            <w:pPr>
              <w:jc w:val="center"/>
            </w:pPr>
            <w:r>
              <w:t>1262,3</w:t>
            </w:r>
          </w:p>
        </w:tc>
        <w:tc>
          <w:tcPr>
            <w:tcW w:w="1276" w:type="dxa"/>
            <w:vAlign w:val="center"/>
          </w:tcPr>
          <w:p w:rsidR="008B170C" w:rsidRPr="00714C12" w:rsidRDefault="00026F3C" w:rsidP="00922059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026F3C" w:rsidP="002D5CB8">
            <w:pPr>
              <w:jc w:val="center"/>
            </w:pPr>
            <w:r>
              <w:t>376,9</w:t>
            </w:r>
          </w:p>
        </w:tc>
        <w:tc>
          <w:tcPr>
            <w:tcW w:w="1276" w:type="dxa"/>
            <w:vAlign w:val="center"/>
          </w:tcPr>
          <w:p w:rsidR="008B170C" w:rsidRDefault="00026F3C" w:rsidP="002D5CB8">
            <w:pPr>
              <w:jc w:val="center"/>
            </w:pPr>
            <w:r>
              <w:t>376,9</w:t>
            </w:r>
          </w:p>
        </w:tc>
        <w:tc>
          <w:tcPr>
            <w:tcW w:w="1276" w:type="dxa"/>
            <w:vAlign w:val="center"/>
          </w:tcPr>
          <w:p w:rsidR="008B170C" w:rsidRPr="00714C12" w:rsidRDefault="008B170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580C2E">
        <w:trPr>
          <w:trHeight w:val="359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026F3C" w:rsidP="002D5CB8">
            <w:pPr>
              <w:jc w:val="center"/>
              <w:rPr>
                <w:b/>
              </w:rPr>
            </w:pPr>
            <w:r>
              <w:rPr>
                <w:b/>
              </w:rPr>
              <w:t>3498,3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026F3C" w:rsidP="002D5CB8">
            <w:pPr>
              <w:jc w:val="center"/>
              <w:rPr>
                <w:b/>
              </w:rPr>
            </w:pPr>
            <w:r>
              <w:rPr>
                <w:b/>
              </w:rPr>
              <w:t>3498,2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026F3C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D50DA9" w:rsidP="00206953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026F3C" w:rsidP="00162C41">
            <w:pPr>
              <w:jc w:val="center"/>
            </w:pPr>
            <w:r>
              <w:t>3477,3</w:t>
            </w:r>
          </w:p>
        </w:tc>
        <w:tc>
          <w:tcPr>
            <w:tcW w:w="1276" w:type="dxa"/>
            <w:vAlign w:val="center"/>
          </w:tcPr>
          <w:p w:rsidR="009A30CB" w:rsidRPr="0071149F" w:rsidRDefault="00026F3C" w:rsidP="002B790E">
            <w:pPr>
              <w:jc w:val="center"/>
            </w:pPr>
            <w:r>
              <w:t>3477,3</w:t>
            </w:r>
          </w:p>
        </w:tc>
        <w:tc>
          <w:tcPr>
            <w:tcW w:w="1276" w:type="dxa"/>
            <w:vAlign w:val="center"/>
          </w:tcPr>
          <w:p w:rsidR="009A30CB" w:rsidRPr="0071149F" w:rsidRDefault="00026F3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A629AF" w:rsidP="00026F3C">
            <w:pPr>
              <w:jc w:val="center"/>
            </w:pPr>
            <w:r>
              <w:t>2</w:t>
            </w:r>
            <w:r w:rsidR="00026F3C">
              <w:t>1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8801C8" w:rsidRPr="0071149F" w:rsidRDefault="00026F3C" w:rsidP="002B790E">
            <w:pPr>
              <w:jc w:val="center"/>
            </w:pPr>
            <w:r>
              <w:t>21,0</w:t>
            </w:r>
          </w:p>
        </w:tc>
        <w:tc>
          <w:tcPr>
            <w:tcW w:w="1276" w:type="dxa"/>
            <w:vAlign w:val="center"/>
          </w:tcPr>
          <w:p w:rsidR="008801C8" w:rsidRPr="0071149F" w:rsidRDefault="001269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8801C8" w:rsidRPr="00D427F4" w:rsidTr="00F615DC">
        <w:tc>
          <w:tcPr>
            <w:tcW w:w="991" w:type="dxa"/>
            <w:shd w:val="clear" w:color="auto" w:fill="D9D9D9" w:themeFill="background1" w:themeFillShade="D9"/>
          </w:tcPr>
          <w:p w:rsidR="008801C8" w:rsidRPr="00D427F4" w:rsidRDefault="008801C8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 w:rsidR="00D427F4">
              <w:rPr>
                <w:b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D427F4" w:rsidRDefault="009F09A9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D427F4" w:rsidRDefault="00026F3C" w:rsidP="00AA6B30">
            <w:pPr>
              <w:jc w:val="center"/>
              <w:rPr>
                <w:b/>
              </w:rPr>
            </w:pPr>
            <w:r>
              <w:rPr>
                <w:b/>
              </w:rPr>
              <w:t>139,1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D427F4" w:rsidRDefault="00026F3C" w:rsidP="00AA6B30">
            <w:pPr>
              <w:jc w:val="center"/>
              <w:rPr>
                <w:b/>
              </w:rPr>
            </w:pPr>
            <w:r>
              <w:rPr>
                <w:b/>
              </w:rPr>
              <w:t>139,1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D427F4" w:rsidRDefault="00D427F4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D427F4" w:rsidRDefault="00A629AF" w:rsidP="002310A5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8801C8" w:rsidRPr="00714C12" w:rsidTr="004976F0">
        <w:tc>
          <w:tcPr>
            <w:tcW w:w="991" w:type="dxa"/>
          </w:tcPr>
          <w:p w:rsidR="008801C8" w:rsidRDefault="00D427F4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8801C8" w:rsidRPr="00D427F4" w:rsidRDefault="00D427F4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8801C8" w:rsidRDefault="00026F3C" w:rsidP="00AA6B30">
            <w:pPr>
              <w:jc w:val="center"/>
            </w:pPr>
            <w:r>
              <w:t>139,1</w:t>
            </w:r>
          </w:p>
        </w:tc>
        <w:tc>
          <w:tcPr>
            <w:tcW w:w="1276" w:type="dxa"/>
            <w:vAlign w:val="center"/>
          </w:tcPr>
          <w:p w:rsidR="008801C8" w:rsidRDefault="00026F3C" w:rsidP="00AA6B30">
            <w:pPr>
              <w:jc w:val="center"/>
            </w:pPr>
            <w:r>
              <w:t>139,1</w:t>
            </w:r>
          </w:p>
        </w:tc>
        <w:tc>
          <w:tcPr>
            <w:tcW w:w="1276" w:type="dxa"/>
            <w:vAlign w:val="center"/>
          </w:tcPr>
          <w:p w:rsidR="008801C8" w:rsidRDefault="00D427F4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9F794B" w:rsidRPr="00714C12" w:rsidTr="00F615DC">
        <w:trPr>
          <w:trHeight w:val="293"/>
        </w:trPr>
        <w:tc>
          <w:tcPr>
            <w:tcW w:w="991" w:type="dxa"/>
            <w:shd w:val="clear" w:color="auto" w:fill="D9D9D9" w:themeFill="background1" w:themeFillShade="D9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F794B" w:rsidRPr="009C16DD" w:rsidRDefault="009F794B" w:rsidP="00922059">
            <w:pPr>
              <w:jc w:val="both"/>
              <w:rPr>
                <w:b/>
              </w:rPr>
            </w:pPr>
            <w:r w:rsidRPr="009C16DD">
              <w:rPr>
                <w:b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794B" w:rsidRPr="009C16DD" w:rsidRDefault="00026F3C" w:rsidP="00162C41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794B" w:rsidRPr="009C16DD" w:rsidRDefault="00026F3C" w:rsidP="002B790E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794B" w:rsidRPr="009C16DD" w:rsidRDefault="009C16DD" w:rsidP="00922059">
            <w:pPr>
              <w:jc w:val="center"/>
              <w:rPr>
                <w:b/>
              </w:rPr>
            </w:pPr>
            <w:r w:rsidRPr="009C16DD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94B" w:rsidRPr="00E133CC" w:rsidRDefault="00D50DA9" w:rsidP="002310A5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9F794B" w:rsidRPr="00714C12" w:rsidTr="00AB7D2F">
        <w:trPr>
          <w:trHeight w:val="230"/>
        </w:trPr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026F3C" w:rsidP="00162C41">
            <w:pPr>
              <w:jc w:val="center"/>
            </w:pPr>
            <w:r>
              <w:t>19,5</w:t>
            </w:r>
          </w:p>
        </w:tc>
        <w:tc>
          <w:tcPr>
            <w:tcW w:w="1276" w:type="dxa"/>
            <w:vAlign w:val="center"/>
          </w:tcPr>
          <w:p w:rsidR="009F794B" w:rsidRDefault="00026F3C" w:rsidP="002B790E">
            <w:pPr>
              <w:jc w:val="center"/>
            </w:pPr>
            <w:r>
              <w:t>19,5</w:t>
            </w:r>
          </w:p>
        </w:tc>
        <w:tc>
          <w:tcPr>
            <w:tcW w:w="1276" w:type="dxa"/>
            <w:vAlign w:val="center"/>
          </w:tcPr>
          <w:p w:rsidR="009F794B" w:rsidRDefault="009C16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8801C8" w:rsidRPr="00714C12" w:rsidTr="00F615DC">
        <w:tc>
          <w:tcPr>
            <w:tcW w:w="991" w:type="dxa"/>
            <w:shd w:val="clear" w:color="auto" w:fill="D9D9D9" w:themeFill="background1" w:themeFillShade="D9"/>
          </w:tcPr>
          <w:p w:rsidR="008801C8" w:rsidRPr="00C07E92" w:rsidRDefault="00D427F4" w:rsidP="00D427F4">
            <w:pPr>
              <w:jc w:val="center"/>
              <w:rPr>
                <w:b/>
              </w:rPr>
            </w:pPr>
            <w:r w:rsidRPr="00C07E92">
              <w:rPr>
                <w:b/>
              </w:rPr>
              <w:t>12.00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C07E92" w:rsidRDefault="009F09A9" w:rsidP="00922059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C07E92" w:rsidRDefault="00026F3C" w:rsidP="00162C41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026F3C" w:rsidP="002B790E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D427F4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C07E92" w:rsidRDefault="00D50DA9" w:rsidP="00A629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27F4" w:rsidRPr="00714C12" w:rsidTr="004976F0">
        <w:tc>
          <w:tcPr>
            <w:tcW w:w="991" w:type="dxa"/>
          </w:tcPr>
          <w:p w:rsidR="00D427F4" w:rsidRDefault="00D427F4" w:rsidP="004976F0">
            <w:pPr>
              <w:jc w:val="center"/>
            </w:pPr>
            <w:r>
              <w:t>12.02</w:t>
            </w:r>
          </w:p>
        </w:tc>
        <w:tc>
          <w:tcPr>
            <w:tcW w:w="3687" w:type="dxa"/>
          </w:tcPr>
          <w:p w:rsidR="00D427F4" w:rsidRDefault="00D427F4" w:rsidP="00D427F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D427F4" w:rsidRDefault="00026F3C" w:rsidP="00162C41">
            <w:pPr>
              <w:jc w:val="center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D427F4" w:rsidRDefault="00026F3C" w:rsidP="002B790E">
            <w:pPr>
              <w:jc w:val="center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D427F4" w:rsidRDefault="00C07E92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427F4" w:rsidRPr="0071149F" w:rsidRDefault="00D427F4" w:rsidP="002310A5">
            <w:pPr>
              <w:jc w:val="center"/>
            </w:pPr>
          </w:p>
        </w:tc>
      </w:tr>
      <w:tr w:rsidR="009C16DD" w:rsidRPr="00714C12" w:rsidTr="00F615DC">
        <w:tc>
          <w:tcPr>
            <w:tcW w:w="991" w:type="dxa"/>
            <w:shd w:val="clear" w:color="auto" w:fill="D9D9D9" w:themeFill="background1" w:themeFillShade="D9"/>
          </w:tcPr>
          <w:p w:rsidR="009C16DD" w:rsidRPr="004E3E85" w:rsidRDefault="009C16DD" w:rsidP="004976F0">
            <w:pPr>
              <w:jc w:val="center"/>
              <w:rPr>
                <w:b/>
              </w:rPr>
            </w:pPr>
            <w:r w:rsidRPr="004E3E85">
              <w:rPr>
                <w:b/>
              </w:rPr>
              <w:t>13.01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C16DD" w:rsidRPr="004E3E85" w:rsidRDefault="009C16DD" w:rsidP="00D427F4">
            <w:pPr>
              <w:jc w:val="both"/>
              <w:rPr>
                <w:b/>
              </w:rPr>
            </w:pPr>
            <w:r w:rsidRPr="004E3E85">
              <w:rPr>
                <w:b/>
              </w:rPr>
              <w:t>Обслуживание муниципального и государственного долга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C16DD" w:rsidRDefault="00296062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16DD" w:rsidRDefault="004E3E85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16DD" w:rsidRDefault="00C67932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16DD" w:rsidRPr="0071149F" w:rsidRDefault="009C16DD" w:rsidP="002310A5">
            <w:pPr>
              <w:jc w:val="center"/>
            </w:pPr>
          </w:p>
        </w:tc>
      </w:tr>
      <w:tr w:rsidR="009C16DD" w:rsidRPr="00714C12" w:rsidTr="004976F0">
        <w:tc>
          <w:tcPr>
            <w:tcW w:w="991" w:type="dxa"/>
          </w:tcPr>
          <w:p w:rsidR="009C16DD" w:rsidRDefault="009C16DD" w:rsidP="004976F0">
            <w:pPr>
              <w:jc w:val="center"/>
            </w:pPr>
            <w:r>
              <w:t>13.01</w:t>
            </w:r>
          </w:p>
        </w:tc>
        <w:tc>
          <w:tcPr>
            <w:tcW w:w="3687" w:type="dxa"/>
          </w:tcPr>
          <w:p w:rsidR="009C16DD" w:rsidRDefault="009C16DD" w:rsidP="004E3E85">
            <w:pPr>
              <w:jc w:val="both"/>
            </w:pPr>
            <w:r>
              <w:t>Обслуживание</w:t>
            </w:r>
            <w:r w:rsidR="004E3E85">
              <w:t xml:space="preserve"> </w:t>
            </w:r>
            <w:r>
              <w:t>государственного</w:t>
            </w:r>
            <w:r w:rsidR="004E3E85">
              <w:t xml:space="preserve"> внутреннего и  муниципального</w:t>
            </w:r>
            <w:r>
              <w:t xml:space="preserve"> долга</w:t>
            </w:r>
          </w:p>
        </w:tc>
        <w:tc>
          <w:tcPr>
            <w:tcW w:w="2126" w:type="dxa"/>
            <w:vAlign w:val="center"/>
          </w:tcPr>
          <w:p w:rsidR="009C16DD" w:rsidRDefault="00296062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C16DD" w:rsidRDefault="004E3E85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C16DD" w:rsidRDefault="00C67932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C16DD" w:rsidRPr="0071149F" w:rsidRDefault="009C16DD" w:rsidP="002310A5">
            <w:pPr>
              <w:jc w:val="center"/>
            </w:pPr>
          </w:p>
        </w:tc>
      </w:tr>
      <w:tr w:rsidR="00580C2E" w:rsidRPr="00714C12" w:rsidTr="00F615DC">
        <w:tc>
          <w:tcPr>
            <w:tcW w:w="991" w:type="dxa"/>
            <w:shd w:val="clear" w:color="auto" w:fill="D9D9D9" w:themeFill="background1" w:themeFillShade="D9"/>
          </w:tcPr>
          <w:p w:rsidR="00580C2E" w:rsidRPr="00C07E92" w:rsidRDefault="00580C2E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80C2E" w:rsidRPr="00C07E92" w:rsidRDefault="00580C2E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0C2E" w:rsidRPr="00C07E92" w:rsidRDefault="00026F3C" w:rsidP="00162C41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C2E" w:rsidRPr="00AA6B30" w:rsidRDefault="00026F3C" w:rsidP="00580C2E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0C2E" w:rsidRPr="00C07E92" w:rsidRDefault="00580C2E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80C2E" w:rsidRPr="00C07E92" w:rsidRDefault="00A629AF" w:rsidP="00570E2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570E2E">
              <w:rPr>
                <w:b/>
              </w:rPr>
              <w:t>8</w:t>
            </w:r>
          </w:p>
        </w:tc>
      </w:tr>
      <w:tr w:rsidR="00580C2E" w:rsidRPr="00714C12" w:rsidTr="00C216F8">
        <w:tc>
          <w:tcPr>
            <w:tcW w:w="991" w:type="dxa"/>
          </w:tcPr>
          <w:p w:rsidR="00580C2E" w:rsidRDefault="00580C2E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580C2E" w:rsidRDefault="00580C2E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580C2E" w:rsidRDefault="00026F3C" w:rsidP="00162C41">
            <w:pPr>
              <w:jc w:val="center"/>
            </w:pPr>
            <w:r>
              <w:t>397,6</w:t>
            </w:r>
          </w:p>
        </w:tc>
        <w:tc>
          <w:tcPr>
            <w:tcW w:w="1276" w:type="dxa"/>
          </w:tcPr>
          <w:p w:rsidR="00580C2E" w:rsidRDefault="00026F3C" w:rsidP="00580C2E">
            <w:pPr>
              <w:jc w:val="center"/>
            </w:pPr>
            <w:r>
              <w:t>397,6</w:t>
            </w:r>
          </w:p>
        </w:tc>
        <w:tc>
          <w:tcPr>
            <w:tcW w:w="1276" w:type="dxa"/>
            <w:vAlign w:val="center"/>
          </w:tcPr>
          <w:p w:rsidR="00580C2E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80C2E" w:rsidRPr="0071149F" w:rsidRDefault="00580C2E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026F3C" w:rsidP="00162C41">
            <w:pPr>
              <w:jc w:val="center"/>
              <w:rPr>
                <w:b/>
              </w:rPr>
            </w:pPr>
            <w:r>
              <w:rPr>
                <w:b/>
              </w:rPr>
              <w:t>15717,0</w:t>
            </w:r>
          </w:p>
        </w:tc>
        <w:tc>
          <w:tcPr>
            <w:tcW w:w="1276" w:type="dxa"/>
            <w:vAlign w:val="center"/>
          </w:tcPr>
          <w:p w:rsidR="009A30CB" w:rsidRPr="00714C12" w:rsidRDefault="00026F3C" w:rsidP="002B790E">
            <w:pPr>
              <w:jc w:val="center"/>
              <w:rPr>
                <w:b/>
              </w:rPr>
            </w:pPr>
            <w:r>
              <w:rPr>
                <w:b/>
              </w:rPr>
              <w:t>14705,8</w:t>
            </w:r>
          </w:p>
        </w:tc>
        <w:tc>
          <w:tcPr>
            <w:tcW w:w="1276" w:type="dxa"/>
            <w:vAlign w:val="center"/>
          </w:tcPr>
          <w:p w:rsidR="009A30CB" w:rsidRPr="00714C12" w:rsidRDefault="00A629AF" w:rsidP="00026F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26F3C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9A30CB" w:rsidRPr="00714C12" w:rsidRDefault="007D45B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5B6CDD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570E2E">
        <w:rPr>
          <w:sz w:val="24"/>
          <w:szCs w:val="24"/>
        </w:rPr>
        <w:t>44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570E2E">
        <w:rPr>
          <w:sz w:val="24"/>
          <w:szCs w:val="24"/>
        </w:rPr>
        <w:t>23,8</w:t>
      </w:r>
      <w:r w:rsidR="00224981">
        <w:rPr>
          <w:sz w:val="24"/>
          <w:szCs w:val="24"/>
        </w:rPr>
        <w:t>%</w:t>
      </w:r>
      <w:r w:rsidR="00570E2E">
        <w:rPr>
          <w:sz w:val="24"/>
          <w:szCs w:val="24"/>
        </w:rPr>
        <w:t>,</w:t>
      </w:r>
      <w:r w:rsidR="00224981">
        <w:rPr>
          <w:sz w:val="24"/>
          <w:szCs w:val="24"/>
        </w:rPr>
        <w:t xml:space="preserve"> </w:t>
      </w:r>
      <w:r w:rsidR="00570E2E">
        <w:rPr>
          <w:sz w:val="24"/>
          <w:szCs w:val="24"/>
        </w:rPr>
        <w:t xml:space="preserve">«Дорожное хозяйство» - 13,6%  </w:t>
      </w:r>
      <w:r w:rsidR="00224981">
        <w:rPr>
          <w:sz w:val="24"/>
          <w:szCs w:val="24"/>
        </w:rPr>
        <w:t>в общем объеме расходов</w:t>
      </w:r>
      <w:r w:rsidR="00BB2126">
        <w:rPr>
          <w:sz w:val="24"/>
          <w:szCs w:val="24"/>
        </w:rPr>
        <w:t>.</w:t>
      </w:r>
    </w:p>
    <w:p w:rsidR="00934703" w:rsidRDefault="005B6CDD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0FAF">
        <w:rPr>
          <w:sz w:val="24"/>
          <w:szCs w:val="24"/>
        </w:rPr>
        <w:t xml:space="preserve">Расходы исполнены в общей сумме </w:t>
      </w:r>
      <w:r w:rsidR="00570E2E">
        <w:rPr>
          <w:sz w:val="24"/>
          <w:szCs w:val="24"/>
        </w:rPr>
        <w:t>14705,8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 xml:space="preserve">с. </w:t>
      </w:r>
      <w:proofErr w:type="spellStart"/>
      <w:r w:rsidR="00CA7403">
        <w:rPr>
          <w:sz w:val="24"/>
          <w:szCs w:val="24"/>
        </w:rPr>
        <w:t>руб</w:t>
      </w:r>
      <w:proofErr w:type="spellEnd"/>
      <w:r w:rsidR="00CA7403">
        <w:rPr>
          <w:sz w:val="24"/>
          <w:szCs w:val="24"/>
        </w:rPr>
        <w:t>, что</w:t>
      </w:r>
      <w:r w:rsidR="00910FAF">
        <w:rPr>
          <w:sz w:val="24"/>
          <w:szCs w:val="24"/>
        </w:rPr>
        <w:t xml:space="preserve"> на </w:t>
      </w:r>
      <w:r w:rsidR="00570E2E">
        <w:rPr>
          <w:sz w:val="24"/>
          <w:szCs w:val="24"/>
        </w:rPr>
        <w:t>1011,2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 w:rsidR="007D45B3">
        <w:rPr>
          <w:sz w:val="24"/>
          <w:szCs w:val="24"/>
        </w:rPr>
        <w:t>9</w:t>
      </w:r>
      <w:r w:rsidR="00570E2E">
        <w:rPr>
          <w:sz w:val="24"/>
          <w:szCs w:val="24"/>
        </w:rPr>
        <w:t>4</w:t>
      </w:r>
      <w:r w:rsidR="003B52AB">
        <w:rPr>
          <w:sz w:val="24"/>
          <w:szCs w:val="24"/>
        </w:rPr>
        <w:t>%).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="00AB7D2F">
        <w:rPr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="00AB7D2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="00570E2E">
        <w:rPr>
          <w:sz w:val="24"/>
          <w:szCs w:val="24"/>
        </w:rPr>
        <w:t>6469,2</w:t>
      </w:r>
      <w:r w:rsidR="005B6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AB7D2F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главы муниципального образования исполнены в сумме </w:t>
      </w:r>
      <w:r w:rsidR="00570E2E">
        <w:rPr>
          <w:sz w:val="24"/>
          <w:szCs w:val="24"/>
        </w:rPr>
        <w:t>1071,3</w:t>
      </w:r>
      <w:r>
        <w:rPr>
          <w:sz w:val="24"/>
          <w:szCs w:val="24"/>
        </w:rPr>
        <w:t xml:space="preserve"> тыс. руб. или на </w:t>
      </w:r>
      <w:r w:rsidR="00CE14AC">
        <w:rPr>
          <w:sz w:val="24"/>
          <w:szCs w:val="24"/>
        </w:rPr>
        <w:t>100</w:t>
      </w:r>
      <w:r>
        <w:rPr>
          <w:sz w:val="24"/>
          <w:szCs w:val="24"/>
        </w:rPr>
        <w:t>% от годовых бюджетных назначений.</w:t>
      </w:r>
    </w:p>
    <w:p w:rsidR="00AB7D2F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570E2E">
        <w:rPr>
          <w:sz w:val="24"/>
          <w:szCs w:val="24"/>
        </w:rPr>
        <w:t>5395,3</w:t>
      </w:r>
      <w:r w:rsidR="005B6CDD"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AB7D2F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>
        <w:rPr>
          <w:sz w:val="24"/>
          <w:szCs w:val="24"/>
        </w:rPr>
        <w:t>, услуг связи, услуг по содержанию администрации Поселения,</w:t>
      </w:r>
      <w:r w:rsidR="00A127C1">
        <w:rPr>
          <w:sz w:val="24"/>
          <w:szCs w:val="24"/>
        </w:rPr>
        <w:t xml:space="preserve"> коммунальных услуг,</w:t>
      </w:r>
      <w:r>
        <w:rPr>
          <w:sz w:val="24"/>
          <w:szCs w:val="24"/>
        </w:rPr>
        <w:t xml:space="preserve"> прочих услуг</w:t>
      </w:r>
      <w:r w:rsidR="00BB2126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увеличения материальных запасов. </w:t>
      </w:r>
    </w:p>
    <w:p w:rsidR="00934703" w:rsidRDefault="00AB7D2F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подразделу «Обеспечение проведения выборов и референдумов» бюджетные назначения </w:t>
      </w:r>
      <w:r w:rsidR="00511581">
        <w:rPr>
          <w:sz w:val="24"/>
          <w:szCs w:val="24"/>
        </w:rPr>
        <w:t>не планировались и не исполнялись.</w:t>
      </w:r>
    </w:p>
    <w:p w:rsidR="00934703" w:rsidRPr="00A55D66" w:rsidRDefault="005B6CDD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По подразделу «Другие общегосударственные расходы» бюджетные назначения исполнены в сумме</w:t>
      </w:r>
      <w:r w:rsidR="00A127C1">
        <w:rPr>
          <w:sz w:val="24"/>
          <w:szCs w:val="24"/>
        </w:rPr>
        <w:t xml:space="preserve"> </w:t>
      </w:r>
      <w:r w:rsidR="00570E2E">
        <w:rPr>
          <w:sz w:val="24"/>
          <w:szCs w:val="24"/>
        </w:rPr>
        <w:t>2,6</w:t>
      </w:r>
      <w:r w:rsidR="00AB7D2F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тыс. руб. Средства</w:t>
      </w:r>
      <w:r w:rsidR="0048393E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</w:t>
      </w:r>
      <w:r w:rsidR="00570E2E">
        <w:rPr>
          <w:sz w:val="24"/>
          <w:szCs w:val="24"/>
        </w:rPr>
        <w:t>в размере</w:t>
      </w:r>
      <w:r w:rsidR="00934703"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 xml:space="preserve">0,7 </w:t>
      </w:r>
      <w:proofErr w:type="spellStart"/>
      <w:proofErr w:type="gramStart"/>
      <w:r w:rsidR="00A9203C">
        <w:rPr>
          <w:sz w:val="24"/>
          <w:szCs w:val="24"/>
        </w:rPr>
        <w:t>тыс</w:t>
      </w:r>
      <w:proofErr w:type="spellEnd"/>
      <w:proofErr w:type="gramEnd"/>
      <w:r w:rsidR="00E81697">
        <w:rPr>
          <w:sz w:val="24"/>
          <w:szCs w:val="24"/>
        </w:rPr>
        <w:t xml:space="preserve"> </w:t>
      </w:r>
      <w:proofErr w:type="spellStart"/>
      <w:r w:rsidR="00A9203C">
        <w:rPr>
          <w:sz w:val="24"/>
          <w:szCs w:val="24"/>
        </w:rPr>
        <w:t>руб</w:t>
      </w:r>
      <w:proofErr w:type="spellEnd"/>
      <w:r w:rsidR="00A9203C">
        <w:rPr>
          <w:sz w:val="24"/>
          <w:szCs w:val="24"/>
        </w:rPr>
        <w:t xml:space="preserve"> – на составление протоколов об административных правонарушениях</w:t>
      </w:r>
      <w:r w:rsidR="00570E2E">
        <w:rPr>
          <w:sz w:val="24"/>
          <w:szCs w:val="24"/>
        </w:rPr>
        <w:t xml:space="preserve"> не исполнены</w:t>
      </w:r>
      <w:r w:rsidR="00A9203C">
        <w:rPr>
          <w:sz w:val="24"/>
          <w:szCs w:val="24"/>
        </w:rPr>
        <w:t>.</w:t>
      </w:r>
    </w:p>
    <w:p w:rsidR="00934703" w:rsidRDefault="00475A04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4450">
        <w:rPr>
          <w:sz w:val="24"/>
          <w:szCs w:val="24"/>
        </w:rPr>
        <w:t>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306651">
        <w:rPr>
          <w:sz w:val="24"/>
          <w:szCs w:val="24"/>
        </w:rPr>
        <w:t>115,1</w:t>
      </w:r>
      <w:r w:rsidR="001E244A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2C4AB9" w:rsidRDefault="00475A04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4AB9">
        <w:rPr>
          <w:sz w:val="24"/>
          <w:szCs w:val="24"/>
        </w:rPr>
        <w:t xml:space="preserve">Расходы по </w:t>
      </w:r>
      <w:r w:rsidR="00844450" w:rsidRPr="00844450">
        <w:rPr>
          <w:b/>
          <w:i/>
          <w:sz w:val="24"/>
          <w:szCs w:val="24"/>
        </w:rPr>
        <w:t>МЦП</w:t>
      </w:r>
      <w:r w:rsidR="001E244A">
        <w:rPr>
          <w:b/>
          <w:i/>
          <w:sz w:val="24"/>
          <w:szCs w:val="24"/>
        </w:rPr>
        <w:t xml:space="preserve"> </w:t>
      </w:r>
      <w:r w:rsidR="002C4AB9"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 w:rsidR="00306651">
        <w:rPr>
          <w:sz w:val="24"/>
          <w:szCs w:val="24"/>
        </w:rPr>
        <w:t>421,5</w:t>
      </w:r>
      <w:r w:rsidR="001E244A">
        <w:rPr>
          <w:sz w:val="24"/>
          <w:szCs w:val="24"/>
        </w:rPr>
        <w:t xml:space="preserve"> </w:t>
      </w:r>
      <w:proofErr w:type="spellStart"/>
      <w:proofErr w:type="gramStart"/>
      <w:r w:rsidR="00844450">
        <w:rPr>
          <w:sz w:val="24"/>
          <w:szCs w:val="24"/>
        </w:rPr>
        <w:t>тыс</w:t>
      </w:r>
      <w:proofErr w:type="spellEnd"/>
      <w:proofErr w:type="gramEnd"/>
      <w:r w:rsidR="00844450">
        <w:rPr>
          <w:sz w:val="24"/>
          <w:szCs w:val="24"/>
        </w:rPr>
        <w:t xml:space="preserve"> рублей</w:t>
      </w:r>
      <w:r w:rsidR="00033D43">
        <w:rPr>
          <w:sz w:val="24"/>
          <w:szCs w:val="24"/>
        </w:rPr>
        <w:t>.</w:t>
      </w:r>
      <w:r w:rsidR="00844450">
        <w:rPr>
          <w:sz w:val="24"/>
          <w:szCs w:val="24"/>
        </w:rPr>
        <w:t>.</w:t>
      </w:r>
    </w:p>
    <w:p w:rsidR="00897676" w:rsidRPr="00F73790" w:rsidRDefault="001E244A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 w:rsidR="00306651">
        <w:rPr>
          <w:sz w:val="24"/>
          <w:szCs w:val="24"/>
        </w:rPr>
        <w:t>1805,7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260D2A">
        <w:rPr>
          <w:sz w:val="24"/>
          <w:szCs w:val="24"/>
        </w:rPr>
        <w:t xml:space="preserve">, что составило </w:t>
      </w:r>
      <w:r w:rsidR="00306651">
        <w:rPr>
          <w:sz w:val="24"/>
          <w:szCs w:val="24"/>
        </w:rPr>
        <w:t>91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201</w:t>
      </w:r>
      <w:r w:rsidR="00306651">
        <w:rPr>
          <w:sz w:val="24"/>
          <w:szCs w:val="24"/>
        </w:rPr>
        <w:t>9</w:t>
      </w:r>
      <w:r w:rsidR="00E8394D" w:rsidRPr="006A763F">
        <w:rPr>
          <w:sz w:val="24"/>
          <w:szCs w:val="24"/>
        </w:rPr>
        <w:t xml:space="preserve"> год, всего учтено при формировании дорожных фондов </w:t>
      </w:r>
      <w:r w:rsidR="00306651">
        <w:rPr>
          <w:sz w:val="24"/>
          <w:szCs w:val="24"/>
        </w:rPr>
        <w:t>19</w:t>
      </w:r>
      <w:r w:rsidR="00910C53">
        <w:rPr>
          <w:sz w:val="24"/>
          <w:szCs w:val="24"/>
        </w:rPr>
        <w:t>3</w:t>
      </w:r>
      <w:r w:rsidR="00306651">
        <w:rPr>
          <w:sz w:val="24"/>
          <w:szCs w:val="24"/>
        </w:rPr>
        <w:t>4,8</w:t>
      </w:r>
      <w:r w:rsidR="00E81697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E8394D" w:rsidRPr="006A763F">
        <w:rPr>
          <w:sz w:val="24"/>
          <w:szCs w:val="24"/>
        </w:rPr>
        <w:t>тыс</w:t>
      </w:r>
      <w:proofErr w:type="spellEnd"/>
      <w:proofErr w:type="gramEnd"/>
      <w:r w:rsidR="00E81697">
        <w:rPr>
          <w:sz w:val="24"/>
          <w:szCs w:val="24"/>
        </w:rPr>
        <w:t xml:space="preserve"> </w:t>
      </w:r>
      <w:proofErr w:type="spellStart"/>
      <w:r w:rsidR="00E8394D" w:rsidRPr="006A763F">
        <w:rPr>
          <w:sz w:val="24"/>
          <w:szCs w:val="24"/>
        </w:rPr>
        <w:t>руб</w:t>
      </w:r>
      <w:proofErr w:type="spellEnd"/>
      <w:r w:rsidR="00E8394D" w:rsidRPr="006A763F">
        <w:rPr>
          <w:sz w:val="24"/>
          <w:szCs w:val="24"/>
        </w:rPr>
        <w:t>, с учетом остатка денежных средств на начало 20</w:t>
      </w:r>
      <w:r w:rsidR="00511581">
        <w:rPr>
          <w:sz w:val="24"/>
          <w:szCs w:val="24"/>
        </w:rPr>
        <w:t>1</w:t>
      </w:r>
      <w:r w:rsidR="00306651">
        <w:rPr>
          <w:sz w:val="24"/>
          <w:szCs w:val="24"/>
        </w:rPr>
        <w:t>9</w:t>
      </w:r>
      <w:r w:rsidR="00E8394D" w:rsidRPr="006A763F">
        <w:rPr>
          <w:sz w:val="24"/>
          <w:szCs w:val="24"/>
        </w:rPr>
        <w:t xml:space="preserve"> года – </w:t>
      </w:r>
      <w:r w:rsidR="00910C53">
        <w:rPr>
          <w:sz w:val="24"/>
          <w:szCs w:val="24"/>
        </w:rPr>
        <w:t>471,6</w:t>
      </w:r>
      <w:r w:rsidR="00E8394D" w:rsidRPr="006A763F">
        <w:rPr>
          <w:sz w:val="24"/>
          <w:szCs w:val="24"/>
        </w:rPr>
        <w:t>тыс</w:t>
      </w:r>
      <w:r w:rsidR="009C2905">
        <w:rPr>
          <w:sz w:val="24"/>
          <w:szCs w:val="24"/>
        </w:rPr>
        <w:t xml:space="preserve"> </w:t>
      </w:r>
      <w:proofErr w:type="spellStart"/>
      <w:r w:rsidR="00E8394D" w:rsidRPr="006A763F">
        <w:rPr>
          <w:sz w:val="24"/>
          <w:szCs w:val="24"/>
        </w:rPr>
        <w:t>руб</w:t>
      </w:r>
      <w:proofErr w:type="spellEnd"/>
      <w:r w:rsidR="00E8394D" w:rsidRPr="006A763F">
        <w:rPr>
          <w:sz w:val="24"/>
          <w:szCs w:val="24"/>
        </w:rPr>
        <w:t xml:space="preserve">, израсходовано </w:t>
      </w:r>
      <w:r w:rsidR="00910C53">
        <w:rPr>
          <w:sz w:val="24"/>
          <w:szCs w:val="24"/>
        </w:rPr>
        <w:t>1774,8</w:t>
      </w:r>
      <w:r w:rsidR="009C2905">
        <w:rPr>
          <w:sz w:val="24"/>
          <w:szCs w:val="24"/>
        </w:rPr>
        <w:t xml:space="preserve"> </w:t>
      </w:r>
      <w:proofErr w:type="spellStart"/>
      <w:r w:rsidR="00E8394D" w:rsidRPr="006A763F">
        <w:rPr>
          <w:sz w:val="24"/>
          <w:szCs w:val="24"/>
        </w:rPr>
        <w:t>тыс</w:t>
      </w:r>
      <w:proofErr w:type="spellEnd"/>
      <w:r w:rsidR="009C2905">
        <w:rPr>
          <w:sz w:val="24"/>
          <w:szCs w:val="24"/>
        </w:rPr>
        <w:t xml:space="preserve"> </w:t>
      </w:r>
      <w:proofErr w:type="spellStart"/>
      <w:r w:rsidR="00E8394D" w:rsidRPr="006A763F">
        <w:rPr>
          <w:sz w:val="24"/>
          <w:szCs w:val="24"/>
        </w:rPr>
        <w:t>руб</w:t>
      </w:r>
      <w:proofErr w:type="spellEnd"/>
      <w:r w:rsidR="00E8394D" w:rsidRPr="006A763F">
        <w:rPr>
          <w:sz w:val="24"/>
          <w:szCs w:val="24"/>
        </w:rPr>
        <w:t xml:space="preserve">, остаток </w:t>
      </w:r>
      <w:r w:rsidR="00E81697">
        <w:rPr>
          <w:sz w:val="24"/>
          <w:szCs w:val="24"/>
        </w:rPr>
        <w:t>денежных средств поступивших акциз</w:t>
      </w:r>
      <w:r w:rsidR="008A29B6" w:rsidRPr="006A763F">
        <w:rPr>
          <w:sz w:val="24"/>
          <w:szCs w:val="24"/>
        </w:rPr>
        <w:t xml:space="preserve"> – </w:t>
      </w:r>
      <w:r w:rsidR="00910C53">
        <w:rPr>
          <w:sz w:val="24"/>
          <w:szCs w:val="24"/>
        </w:rPr>
        <w:t>160,1</w:t>
      </w:r>
      <w:r w:rsidR="00D553F0">
        <w:rPr>
          <w:sz w:val="24"/>
          <w:szCs w:val="24"/>
        </w:rPr>
        <w:t xml:space="preserve"> </w:t>
      </w:r>
      <w:proofErr w:type="spellStart"/>
      <w:r w:rsidR="00D553F0">
        <w:rPr>
          <w:sz w:val="24"/>
          <w:szCs w:val="24"/>
        </w:rPr>
        <w:t>тыс</w:t>
      </w:r>
      <w:proofErr w:type="spellEnd"/>
      <w:r w:rsidR="00D553F0">
        <w:rPr>
          <w:sz w:val="24"/>
          <w:szCs w:val="24"/>
        </w:rPr>
        <w:t xml:space="preserve"> </w:t>
      </w:r>
      <w:proofErr w:type="spellStart"/>
      <w:r w:rsidR="00D553F0">
        <w:rPr>
          <w:sz w:val="24"/>
          <w:szCs w:val="24"/>
        </w:rPr>
        <w:t>руб</w:t>
      </w:r>
      <w:proofErr w:type="spellEnd"/>
      <w:r w:rsidR="00D553F0">
        <w:rPr>
          <w:sz w:val="24"/>
          <w:szCs w:val="24"/>
        </w:rPr>
        <w:t>,</w:t>
      </w:r>
      <w:r w:rsidR="008A29B6" w:rsidRPr="00260D2A">
        <w:rPr>
          <w:color w:val="FF0000"/>
          <w:sz w:val="24"/>
          <w:szCs w:val="24"/>
        </w:rPr>
        <w:t>.</w:t>
      </w:r>
      <w:r w:rsidR="00475A04">
        <w:rPr>
          <w:color w:val="FF0000"/>
          <w:sz w:val="24"/>
          <w:szCs w:val="24"/>
        </w:rPr>
        <w:t xml:space="preserve"> </w:t>
      </w:r>
      <w:r w:rsidR="00033D43">
        <w:rPr>
          <w:sz w:val="24"/>
          <w:szCs w:val="24"/>
        </w:rPr>
        <w:t xml:space="preserve">По подразделу 04.12 исполнено </w:t>
      </w:r>
      <w:r w:rsidR="00910C53">
        <w:rPr>
          <w:sz w:val="24"/>
          <w:szCs w:val="24"/>
        </w:rPr>
        <w:t>198,0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033D43">
        <w:rPr>
          <w:sz w:val="24"/>
          <w:szCs w:val="24"/>
        </w:rPr>
        <w:t>тыс</w:t>
      </w:r>
      <w:proofErr w:type="spellEnd"/>
      <w:proofErr w:type="gramEnd"/>
      <w:r w:rsidR="00033D43">
        <w:rPr>
          <w:sz w:val="24"/>
          <w:szCs w:val="24"/>
        </w:rPr>
        <w:t xml:space="preserve"> рублей.</w:t>
      </w:r>
    </w:p>
    <w:p w:rsidR="009343D6" w:rsidRDefault="00934703" w:rsidP="00F737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Расходы по</w:t>
      </w:r>
      <w:r w:rsidR="00511581">
        <w:rPr>
          <w:sz w:val="24"/>
          <w:szCs w:val="24"/>
        </w:rPr>
        <w:t xml:space="preserve"> </w:t>
      </w:r>
      <w:r w:rsidR="00844450">
        <w:rPr>
          <w:b/>
          <w:i/>
          <w:sz w:val="24"/>
          <w:szCs w:val="24"/>
        </w:rPr>
        <w:t>МЦП «Развитие жилищно-коммунального хозяйства»</w:t>
      </w:r>
      <w:r w:rsidR="0051158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910C53">
        <w:rPr>
          <w:sz w:val="24"/>
          <w:szCs w:val="24"/>
        </w:rPr>
        <w:t>1246,6</w:t>
      </w:r>
      <w:r w:rsidR="001E2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910C53">
        <w:rPr>
          <w:sz w:val="24"/>
          <w:szCs w:val="24"/>
        </w:rPr>
        <w:t>66</w:t>
      </w:r>
      <w:r>
        <w:rPr>
          <w:sz w:val="24"/>
          <w:szCs w:val="24"/>
        </w:rPr>
        <w:t>% к плановым назначениям</w:t>
      </w:r>
      <w:r w:rsidR="00910C53">
        <w:rPr>
          <w:sz w:val="24"/>
          <w:szCs w:val="24"/>
        </w:rPr>
        <w:t>. Всего по разделу 05 исполнено 1639,1</w:t>
      </w:r>
    </w:p>
    <w:p w:rsidR="007C4D37" w:rsidRDefault="001E244A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4703">
        <w:rPr>
          <w:sz w:val="24"/>
          <w:szCs w:val="24"/>
        </w:rPr>
        <w:t xml:space="preserve">По </w:t>
      </w:r>
      <w:r w:rsidR="00844450">
        <w:rPr>
          <w:b/>
          <w:i/>
          <w:sz w:val="24"/>
          <w:szCs w:val="24"/>
        </w:rPr>
        <w:t>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 w:rsidR="007C4D37">
        <w:rPr>
          <w:sz w:val="24"/>
          <w:szCs w:val="24"/>
        </w:rPr>
        <w:t>3517,8</w:t>
      </w:r>
      <w:r w:rsidR="00934703">
        <w:rPr>
          <w:sz w:val="24"/>
          <w:szCs w:val="24"/>
        </w:rPr>
        <w:t xml:space="preserve"> тыс. руб.(</w:t>
      </w:r>
      <w:r w:rsidR="00731D00">
        <w:rPr>
          <w:sz w:val="24"/>
          <w:szCs w:val="24"/>
        </w:rPr>
        <w:t>100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>
        <w:rPr>
          <w:sz w:val="24"/>
          <w:szCs w:val="24"/>
        </w:rPr>
        <w:t>, расходы по подпрограмме «</w:t>
      </w:r>
      <w:r w:rsidR="00511581">
        <w:rPr>
          <w:sz w:val="24"/>
          <w:szCs w:val="24"/>
        </w:rPr>
        <w:t>Ф</w:t>
      </w:r>
      <w:r>
        <w:rPr>
          <w:sz w:val="24"/>
          <w:szCs w:val="24"/>
        </w:rPr>
        <w:t xml:space="preserve">изическая культура и спорт» составили </w:t>
      </w:r>
      <w:r w:rsidR="007C4D37">
        <w:rPr>
          <w:sz w:val="24"/>
          <w:szCs w:val="24"/>
        </w:rPr>
        <w:t>19,5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рублей</w:t>
      </w:r>
      <w:r w:rsidR="00511581">
        <w:rPr>
          <w:sz w:val="24"/>
          <w:szCs w:val="24"/>
        </w:rPr>
        <w:t xml:space="preserve">, подпрограмме «Организация массовых праздников» - </w:t>
      </w:r>
      <w:r w:rsidR="007C4D37">
        <w:rPr>
          <w:sz w:val="24"/>
          <w:szCs w:val="24"/>
        </w:rPr>
        <w:t>21,0</w:t>
      </w:r>
      <w:r w:rsidR="00511581">
        <w:rPr>
          <w:sz w:val="24"/>
          <w:szCs w:val="24"/>
        </w:rPr>
        <w:t xml:space="preserve"> </w:t>
      </w:r>
      <w:proofErr w:type="spellStart"/>
      <w:r w:rsidR="00511581">
        <w:rPr>
          <w:sz w:val="24"/>
          <w:szCs w:val="24"/>
        </w:rPr>
        <w:t>тыс</w:t>
      </w:r>
      <w:proofErr w:type="spellEnd"/>
      <w:r w:rsidR="00511581">
        <w:rPr>
          <w:sz w:val="24"/>
          <w:szCs w:val="24"/>
        </w:rPr>
        <w:t xml:space="preserve"> рублей</w:t>
      </w:r>
      <w:r w:rsidR="007C4D37">
        <w:rPr>
          <w:sz w:val="24"/>
          <w:szCs w:val="24"/>
        </w:rPr>
        <w:t>.</w:t>
      </w:r>
    </w:p>
    <w:p w:rsidR="00934703" w:rsidRDefault="00731D00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731D00">
        <w:rPr>
          <w:sz w:val="24"/>
          <w:szCs w:val="24"/>
        </w:rPr>
        <w:t xml:space="preserve"> </w:t>
      </w:r>
      <w:r w:rsidR="001E244A">
        <w:rPr>
          <w:sz w:val="24"/>
          <w:szCs w:val="24"/>
        </w:rPr>
        <w:t xml:space="preserve">        </w:t>
      </w:r>
      <w:r w:rsidRPr="00731D00">
        <w:rPr>
          <w:sz w:val="24"/>
          <w:szCs w:val="24"/>
        </w:rPr>
        <w:t>Расходы по разделу «</w:t>
      </w:r>
      <w:r w:rsidRPr="00731D00">
        <w:rPr>
          <w:b/>
          <w:sz w:val="24"/>
          <w:szCs w:val="24"/>
        </w:rPr>
        <w:t>Социальная политика</w:t>
      </w:r>
      <w:r w:rsidRPr="00731D00">
        <w:rPr>
          <w:sz w:val="24"/>
          <w:szCs w:val="24"/>
        </w:rPr>
        <w:t xml:space="preserve">» исполнены в сумме </w:t>
      </w:r>
      <w:r w:rsidR="007C4D37">
        <w:rPr>
          <w:sz w:val="24"/>
          <w:szCs w:val="24"/>
        </w:rPr>
        <w:t>139,1</w:t>
      </w:r>
      <w:r w:rsidRPr="00731D00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100</w:t>
      </w:r>
      <w:r w:rsidRPr="00731D00"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9343D6">
        <w:rPr>
          <w:b/>
          <w:i/>
          <w:sz w:val="24"/>
          <w:szCs w:val="24"/>
        </w:rPr>
        <w:t>Периодическая печать и издательства</w:t>
      </w:r>
      <w:r w:rsidRPr="00026F14">
        <w:rPr>
          <w:b/>
          <w:i/>
          <w:sz w:val="24"/>
          <w:szCs w:val="24"/>
        </w:rPr>
        <w:t>»</w:t>
      </w:r>
      <w:r w:rsidR="001E244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9B5A2E">
        <w:rPr>
          <w:sz w:val="24"/>
          <w:szCs w:val="24"/>
        </w:rPr>
        <w:t>2,7</w:t>
      </w:r>
      <w:r>
        <w:rPr>
          <w:sz w:val="24"/>
          <w:szCs w:val="24"/>
        </w:rPr>
        <w:t xml:space="preserve"> тыс. руб. или на </w:t>
      </w:r>
      <w:r w:rsidR="00A03D16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 w:rsidR="00661A2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9B5A2E">
        <w:rPr>
          <w:sz w:val="24"/>
          <w:szCs w:val="24"/>
        </w:rPr>
        <w:t>397,6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48393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="00A33B0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Замзорского</w:t>
      </w:r>
      <w:proofErr w:type="spellEnd"/>
      <w:r w:rsidR="0048393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4B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5F4B06" w:rsidP="005F4B0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proofErr w:type="gramStart"/>
      <w:r w:rsidR="00072DE9"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  <w:proofErr w:type="gramEnd"/>
    </w:p>
    <w:p w:rsidR="009A4B20" w:rsidRDefault="00E2448B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48393E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0503169 по состоянию на 01.01.20</w:t>
      </w:r>
      <w:r w:rsidR="00504A3E">
        <w:rPr>
          <w:rFonts w:ascii="Times New Roman" w:hAnsi="Times New Roman" w:cs="Times New Roman"/>
          <w:sz w:val="24"/>
          <w:szCs w:val="24"/>
        </w:rPr>
        <w:t>20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proofErr w:type="spellStart"/>
      <w:r w:rsidR="00A33B0E">
        <w:rPr>
          <w:rFonts w:ascii="Times New Roman" w:hAnsi="Times New Roman" w:cs="Times New Roman"/>
          <w:sz w:val="24"/>
          <w:szCs w:val="24"/>
        </w:rPr>
        <w:t>Замзорского</w:t>
      </w:r>
      <w:proofErr w:type="spellEnd"/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</w:t>
      </w:r>
      <w:r w:rsidR="00D553F0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04A3E">
        <w:rPr>
          <w:rFonts w:ascii="Times New Roman" w:hAnsi="Times New Roman" w:cs="Times New Roman"/>
          <w:sz w:val="24"/>
          <w:szCs w:val="24"/>
        </w:rPr>
        <w:t>1286,2</w:t>
      </w:r>
      <w:r w:rsidR="00D5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3F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D553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62AB7">
        <w:rPr>
          <w:rFonts w:ascii="Times New Roman" w:hAnsi="Times New Roman" w:cs="Times New Roman"/>
          <w:sz w:val="24"/>
          <w:szCs w:val="24"/>
        </w:rPr>
        <w:t>.</w:t>
      </w:r>
      <w:r w:rsidR="006C7EB2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="00504A3E">
        <w:rPr>
          <w:rFonts w:ascii="Times New Roman" w:hAnsi="Times New Roman" w:cs="Times New Roman"/>
          <w:sz w:val="24"/>
          <w:szCs w:val="24"/>
        </w:rPr>
        <w:t>9</w:t>
      </w:r>
      <w:r w:rsidR="006C7EB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составляла </w:t>
      </w:r>
      <w:r w:rsidR="00504A3E">
        <w:rPr>
          <w:rFonts w:ascii="Times New Roman" w:hAnsi="Times New Roman" w:cs="Times New Roman"/>
          <w:sz w:val="24"/>
          <w:szCs w:val="24"/>
        </w:rPr>
        <w:t>56,2</w:t>
      </w:r>
      <w:r w:rsidR="001E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EB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1E244A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руб</w:t>
      </w:r>
      <w:r w:rsidR="001E244A">
        <w:rPr>
          <w:rFonts w:ascii="Times New Roman" w:hAnsi="Times New Roman" w:cs="Times New Roman"/>
          <w:sz w:val="24"/>
          <w:szCs w:val="24"/>
        </w:rPr>
        <w:t>.</w:t>
      </w:r>
      <w:r w:rsidR="005F4B06">
        <w:rPr>
          <w:rFonts w:ascii="Times New Roman" w:hAnsi="Times New Roman" w:cs="Times New Roman"/>
          <w:sz w:val="24"/>
          <w:szCs w:val="24"/>
        </w:rPr>
        <w:t xml:space="preserve"> Не исполнение принятых бюджетных обязательств по оплате коммунальных услуг привело к образованию кредиторской задолженности в сумме </w:t>
      </w:r>
      <w:r w:rsidR="00504A3E">
        <w:rPr>
          <w:rFonts w:ascii="Times New Roman" w:hAnsi="Times New Roman" w:cs="Times New Roman"/>
          <w:sz w:val="24"/>
          <w:szCs w:val="24"/>
        </w:rPr>
        <w:t>22,1</w:t>
      </w:r>
      <w:r w:rsidR="005F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0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F4B06">
        <w:rPr>
          <w:rFonts w:ascii="Times New Roman" w:hAnsi="Times New Roman" w:cs="Times New Roman"/>
          <w:sz w:val="24"/>
          <w:szCs w:val="24"/>
        </w:rPr>
        <w:t xml:space="preserve"> рублей. Кредиторская задолженность по коду счета 20500000 </w:t>
      </w:r>
      <w:r w:rsidR="00504A3E">
        <w:rPr>
          <w:rFonts w:ascii="Times New Roman" w:hAnsi="Times New Roman" w:cs="Times New Roman"/>
          <w:sz w:val="24"/>
          <w:szCs w:val="24"/>
        </w:rPr>
        <w:t>199,0</w:t>
      </w:r>
      <w:r w:rsidR="005F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4B0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5F4B06">
        <w:rPr>
          <w:rFonts w:ascii="Times New Roman" w:hAnsi="Times New Roman" w:cs="Times New Roman"/>
          <w:sz w:val="24"/>
          <w:szCs w:val="24"/>
        </w:rPr>
        <w:t xml:space="preserve"> рублей документально не подтверждена</w:t>
      </w:r>
      <w:r w:rsidR="00112DB3">
        <w:rPr>
          <w:rFonts w:ascii="Times New Roman" w:hAnsi="Times New Roman" w:cs="Times New Roman"/>
          <w:sz w:val="24"/>
          <w:szCs w:val="24"/>
        </w:rPr>
        <w:t xml:space="preserve"> и </w:t>
      </w:r>
      <w:r w:rsidR="00112DB3">
        <w:rPr>
          <w:rFonts w:ascii="Times New Roman" w:hAnsi="Times New Roman" w:cs="Times New Roman"/>
          <w:sz w:val="22"/>
          <w:szCs w:val="22"/>
        </w:rPr>
        <w:t>не отражена в отчете о бюджетных обязательствах (форма 0503128)</w:t>
      </w:r>
      <w:r w:rsidR="009A4B20">
        <w:rPr>
          <w:rFonts w:ascii="Times New Roman" w:hAnsi="Times New Roman" w:cs="Times New Roman"/>
          <w:sz w:val="24"/>
          <w:szCs w:val="24"/>
        </w:rPr>
        <w:t>.</w:t>
      </w:r>
    </w:p>
    <w:p w:rsidR="000C7EED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B18">
        <w:rPr>
          <w:rFonts w:ascii="Times New Roman" w:hAnsi="Times New Roman" w:cs="Times New Roman"/>
          <w:sz w:val="24"/>
          <w:szCs w:val="24"/>
        </w:rPr>
        <w:t xml:space="preserve">      С</w:t>
      </w:r>
      <w:r w:rsidR="000C7EED">
        <w:rPr>
          <w:rFonts w:ascii="Times New Roman" w:hAnsi="Times New Roman" w:cs="Times New Roman"/>
          <w:sz w:val="24"/>
          <w:szCs w:val="24"/>
        </w:rPr>
        <w:t>умма</w:t>
      </w:r>
      <w:r>
        <w:rPr>
          <w:rFonts w:ascii="Times New Roman" w:hAnsi="Times New Roman" w:cs="Times New Roman"/>
          <w:sz w:val="24"/>
          <w:szCs w:val="24"/>
        </w:rPr>
        <w:t xml:space="preserve"> дебиторск</w:t>
      </w:r>
      <w:r w:rsidR="000C7EE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C7EED">
        <w:rPr>
          <w:rFonts w:ascii="Times New Roman" w:hAnsi="Times New Roman" w:cs="Times New Roman"/>
          <w:sz w:val="24"/>
          <w:szCs w:val="24"/>
        </w:rPr>
        <w:t>и</w:t>
      </w:r>
      <w:r w:rsidR="00D553F0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="00962B18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04A3E">
        <w:rPr>
          <w:rFonts w:ascii="Times New Roman" w:hAnsi="Times New Roman" w:cs="Times New Roman"/>
          <w:sz w:val="24"/>
          <w:szCs w:val="24"/>
        </w:rPr>
        <w:t>1539,4</w:t>
      </w:r>
      <w:r w:rsidR="00D553F0">
        <w:rPr>
          <w:rFonts w:ascii="Times New Roman" w:hAnsi="Times New Roman" w:cs="Times New Roman"/>
          <w:sz w:val="24"/>
          <w:szCs w:val="24"/>
        </w:rPr>
        <w:t xml:space="preserve"> </w:t>
      </w:r>
      <w:r w:rsidR="00562AB7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62AB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553F0">
        <w:rPr>
          <w:rFonts w:ascii="Times New Roman" w:hAnsi="Times New Roman" w:cs="Times New Roman"/>
          <w:sz w:val="24"/>
          <w:szCs w:val="24"/>
        </w:rPr>
        <w:t>,</w:t>
      </w:r>
      <w:r w:rsidR="005F4B06">
        <w:rPr>
          <w:rFonts w:ascii="Times New Roman" w:hAnsi="Times New Roman" w:cs="Times New Roman"/>
          <w:sz w:val="24"/>
          <w:szCs w:val="24"/>
        </w:rPr>
        <w:t xml:space="preserve"> в том числе просроченная – </w:t>
      </w:r>
      <w:r w:rsidR="00504A3E">
        <w:rPr>
          <w:rFonts w:ascii="Times New Roman" w:hAnsi="Times New Roman" w:cs="Times New Roman"/>
          <w:sz w:val="24"/>
          <w:szCs w:val="24"/>
        </w:rPr>
        <w:t>127,6</w:t>
      </w:r>
      <w:r w:rsidR="005F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4B0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5F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A4B20">
        <w:rPr>
          <w:rFonts w:ascii="Times New Roman" w:hAnsi="Times New Roman" w:cs="Times New Roman"/>
          <w:sz w:val="24"/>
          <w:szCs w:val="24"/>
        </w:rPr>
        <w:t xml:space="preserve"> (документально не подтверждена)</w:t>
      </w:r>
      <w:r w:rsidR="005F4B06">
        <w:rPr>
          <w:rFonts w:ascii="Times New Roman" w:hAnsi="Times New Roman" w:cs="Times New Roman"/>
          <w:sz w:val="24"/>
          <w:szCs w:val="24"/>
        </w:rPr>
        <w:t>,</w:t>
      </w:r>
      <w:r w:rsidR="00D553F0">
        <w:rPr>
          <w:rFonts w:ascii="Times New Roman" w:hAnsi="Times New Roman" w:cs="Times New Roman"/>
          <w:sz w:val="24"/>
          <w:szCs w:val="24"/>
        </w:rPr>
        <w:t xml:space="preserve"> на начало года </w:t>
      </w:r>
      <w:r w:rsidR="005F4B06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D553F0">
        <w:rPr>
          <w:rFonts w:ascii="Times New Roman" w:hAnsi="Times New Roman" w:cs="Times New Roman"/>
          <w:sz w:val="24"/>
          <w:szCs w:val="24"/>
        </w:rPr>
        <w:t xml:space="preserve">– </w:t>
      </w:r>
      <w:r w:rsidR="00504A3E">
        <w:rPr>
          <w:rFonts w:ascii="Times New Roman" w:hAnsi="Times New Roman" w:cs="Times New Roman"/>
          <w:sz w:val="24"/>
          <w:szCs w:val="24"/>
        </w:rPr>
        <w:t>240,0</w:t>
      </w:r>
      <w:r w:rsidR="00D5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3F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D553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4B06">
        <w:rPr>
          <w:rFonts w:ascii="Times New Roman" w:hAnsi="Times New Roman" w:cs="Times New Roman"/>
          <w:sz w:val="24"/>
          <w:szCs w:val="24"/>
        </w:rPr>
        <w:t xml:space="preserve">, в том числе просроченная </w:t>
      </w:r>
      <w:r w:rsidR="00504A3E">
        <w:rPr>
          <w:rFonts w:ascii="Times New Roman" w:hAnsi="Times New Roman" w:cs="Times New Roman"/>
          <w:sz w:val="24"/>
          <w:szCs w:val="24"/>
        </w:rPr>
        <w:t>240,0</w:t>
      </w:r>
      <w:r w:rsidR="005F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0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F4B0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C0936" w:rsidRDefault="005F4B0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годовой бюджетной отчетности главных распорядителей средств бюджета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D74B06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4FE2">
        <w:rPr>
          <w:sz w:val="24"/>
          <w:szCs w:val="24"/>
        </w:rPr>
        <w:t>Значительный</w:t>
      </w:r>
      <w:r w:rsidR="007E05A9">
        <w:rPr>
          <w:sz w:val="24"/>
          <w:szCs w:val="24"/>
        </w:rPr>
        <w:t xml:space="preserve"> рост доходов </w:t>
      </w:r>
      <w:r w:rsidR="00F538F9">
        <w:rPr>
          <w:sz w:val="24"/>
          <w:szCs w:val="24"/>
        </w:rPr>
        <w:t>п</w:t>
      </w:r>
      <w:r w:rsidR="007E05A9">
        <w:rPr>
          <w:sz w:val="24"/>
          <w:szCs w:val="24"/>
        </w:rPr>
        <w:t>оселени</w:t>
      </w:r>
      <w:r w:rsidR="00B34FE2">
        <w:rPr>
          <w:sz w:val="24"/>
          <w:szCs w:val="24"/>
        </w:rPr>
        <w:t>я в течение года</w:t>
      </w:r>
      <w:r w:rsidR="007E05A9"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6C7EB2" w:rsidRPr="00A80202" w:rsidRDefault="00D74B06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D553F0">
        <w:rPr>
          <w:sz w:val="24"/>
          <w:szCs w:val="24"/>
        </w:rPr>
        <w:t xml:space="preserve">муниципального образования </w:t>
      </w:r>
      <w:r w:rsidR="00A55D66" w:rsidRPr="00E233FE">
        <w:rPr>
          <w:sz w:val="24"/>
          <w:szCs w:val="24"/>
        </w:rPr>
        <w:t>за 201</w:t>
      </w:r>
      <w:r w:rsidR="00504A3E">
        <w:rPr>
          <w:sz w:val="24"/>
          <w:szCs w:val="24"/>
        </w:rPr>
        <w:t>9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201</w:t>
      </w:r>
      <w:r w:rsidR="00504A3E">
        <w:rPr>
          <w:sz w:val="24"/>
          <w:szCs w:val="24"/>
        </w:rPr>
        <w:t>9</w:t>
      </w:r>
      <w:r w:rsidR="00216E26">
        <w:rPr>
          <w:sz w:val="24"/>
          <w:szCs w:val="24"/>
        </w:rPr>
        <w:t>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  <w:bookmarkStart w:id="0" w:name="_GoBack"/>
      <w:bookmarkEnd w:id="0"/>
    </w:p>
    <w:p w:rsidR="009A4B20" w:rsidRPr="00C64FA5" w:rsidRDefault="00011514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A80202">
        <w:rPr>
          <w:rFonts w:eastAsia="Calibri"/>
          <w:sz w:val="24"/>
          <w:szCs w:val="24"/>
        </w:rPr>
        <w:t xml:space="preserve">на конец года образовался значительный </w:t>
      </w:r>
      <w:r>
        <w:rPr>
          <w:rFonts w:eastAsia="Calibri"/>
          <w:sz w:val="24"/>
          <w:szCs w:val="24"/>
        </w:rPr>
        <w:t xml:space="preserve">остаток средств на счетах в сумме </w:t>
      </w:r>
      <w:r w:rsidR="00504A3E">
        <w:rPr>
          <w:rFonts w:eastAsia="Calibri"/>
          <w:sz w:val="24"/>
          <w:szCs w:val="24"/>
        </w:rPr>
        <w:t>829,4</w:t>
      </w:r>
      <w:r w:rsidR="00DA2A11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тыс</w:t>
      </w:r>
      <w:proofErr w:type="spellEnd"/>
      <w:proofErr w:type="gramEnd"/>
      <w:r w:rsidR="004D254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руб</w:t>
      </w:r>
      <w:proofErr w:type="spellEnd"/>
      <w:r>
        <w:rPr>
          <w:rFonts w:eastAsia="Calibri"/>
          <w:sz w:val="24"/>
          <w:szCs w:val="24"/>
        </w:rPr>
        <w:t xml:space="preserve">, </w:t>
      </w:r>
      <w:r w:rsidR="00A80202">
        <w:rPr>
          <w:rFonts w:eastAsia="Calibri"/>
          <w:sz w:val="24"/>
          <w:szCs w:val="24"/>
        </w:rPr>
        <w:t xml:space="preserve">в </w:t>
      </w:r>
      <w:r w:rsidR="00DA2A11">
        <w:rPr>
          <w:rFonts w:eastAsia="Calibri"/>
          <w:sz w:val="24"/>
          <w:szCs w:val="24"/>
        </w:rPr>
        <w:t>том числе</w:t>
      </w:r>
      <w:r w:rsidR="00A80202">
        <w:rPr>
          <w:rFonts w:eastAsia="Calibri"/>
          <w:sz w:val="24"/>
          <w:szCs w:val="24"/>
        </w:rPr>
        <w:t xml:space="preserve"> за счет средств дорожного фонда</w:t>
      </w:r>
      <w:r w:rsidR="00E81697">
        <w:rPr>
          <w:rFonts w:eastAsia="Calibri"/>
          <w:sz w:val="24"/>
          <w:szCs w:val="24"/>
        </w:rPr>
        <w:t xml:space="preserve"> (</w:t>
      </w:r>
      <w:r w:rsidR="00504A3E">
        <w:rPr>
          <w:rFonts w:eastAsia="Calibri"/>
          <w:sz w:val="24"/>
          <w:szCs w:val="24"/>
        </w:rPr>
        <w:t>160,1</w:t>
      </w:r>
      <w:r w:rsidR="00E81697">
        <w:rPr>
          <w:rFonts w:eastAsia="Calibri"/>
          <w:sz w:val="24"/>
          <w:szCs w:val="24"/>
        </w:rPr>
        <w:t xml:space="preserve"> </w:t>
      </w:r>
      <w:proofErr w:type="spellStart"/>
      <w:r w:rsidR="00E81697">
        <w:rPr>
          <w:rFonts w:eastAsia="Calibri"/>
          <w:sz w:val="24"/>
          <w:szCs w:val="24"/>
        </w:rPr>
        <w:t>тыс</w:t>
      </w:r>
      <w:proofErr w:type="spellEnd"/>
      <w:r w:rsidR="00E81697">
        <w:rPr>
          <w:rFonts w:eastAsia="Calibri"/>
          <w:sz w:val="24"/>
          <w:szCs w:val="24"/>
        </w:rPr>
        <w:t xml:space="preserve"> </w:t>
      </w:r>
      <w:proofErr w:type="spellStart"/>
      <w:r w:rsidR="00E81697">
        <w:rPr>
          <w:rFonts w:eastAsia="Calibri"/>
          <w:sz w:val="24"/>
          <w:szCs w:val="24"/>
        </w:rPr>
        <w:t>руб</w:t>
      </w:r>
      <w:proofErr w:type="spellEnd"/>
      <w:r w:rsidR="00E81697">
        <w:rPr>
          <w:rFonts w:eastAsia="Calibri"/>
          <w:sz w:val="24"/>
          <w:szCs w:val="24"/>
        </w:rPr>
        <w:t>)</w:t>
      </w:r>
      <w:r w:rsidR="00D553F0">
        <w:rPr>
          <w:rFonts w:eastAsia="Calibri"/>
          <w:sz w:val="24"/>
          <w:szCs w:val="24"/>
        </w:rPr>
        <w:t>,</w:t>
      </w:r>
      <w:r w:rsidR="00D553F0" w:rsidRPr="00D553F0">
        <w:rPr>
          <w:sz w:val="24"/>
          <w:szCs w:val="24"/>
        </w:rPr>
        <w:t xml:space="preserve"> </w:t>
      </w:r>
      <w:r w:rsidR="00D553F0">
        <w:rPr>
          <w:sz w:val="24"/>
          <w:szCs w:val="24"/>
        </w:rPr>
        <w:t xml:space="preserve">собственных средств </w:t>
      </w:r>
      <w:r w:rsidR="00504A3E">
        <w:rPr>
          <w:sz w:val="24"/>
          <w:szCs w:val="24"/>
        </w:rPr>
        <w:t>669,3</w:t>
      </w:r>
      <w:r w:rsidR="00D553F0">
        <w:rPr>
          <w:sz w:val="24"/>
          <w:szCs w:val="24"/>
        </w:rPr>
        <w:t xml:space="preserve"> </w:t>
      </w:r>
      <w:proofErr w:type="spellStart"/>
      <w:r w:rsidR="00D553F0" w:rsidRPr="006A763F">
        <w:rPr>
          <w:sz w:val="24"/>
          <w:szCs w:val="24"/>
        </w:rPr>
        <w:t>тыс</w:t>
      </w:r>
      <w:proofErr w:type="spellEnd"/>
      <w:r w:rsidR="00D553F0" w:rsidRPr="006A763F">
        <w:rPr>
          <w:sz w:val="24"/>
          <w:szCs w:val="24"/>
        </w:rPr>
        <w:t xml:space="preserve"> руб</w:t>
      </w:r>
      <w:r w:rsidR="00962B18">
        <w:rPr>
          <w:rFonts w:eastAsia="Calibri"/>
          <w:sz w:val="24"/>
          <w:szCs w:val="24"/>
        </w:rPr>
        <w:t>.</w:t>
      </w:r>
      <w:r w:rsidR="009A4B20">
        <w:rPr>
          <w:rFonts w:eastAsia="Calibri"/>
          <w:sz w:val="24"/>
          <w:szCs w:val="24"/>
        </w:rPr>
        <w:t xml:space="preserve">, </w:t>
      </w:r>
      <w:r w:rsidR="00962B18">
        <w:rPr>
          <w:rFonts w:eastAsia="Calibri"/>
          <w:sz w:val="24"/>
          <w:szCs w:val="24"/>
        </w:rPr>
        <w:t>не смотр</w:t>
      </w:r>
      <w:r w:rsidR="009A4B20">
        <w:rPr>
          <w:rFonts w:eastAsia="Calibri"/>
          <w:sz w:val="24"/>
          <w:szCs w:val="24"/>
        </w:rPr>
        <w:t xml:space="preserve">я на это </w:t>
      </w:r>
      <w:r w:rsidR="00962B18">
        <w:rPr>
          <w:rFonts w:eastAsia="Calibri"/>
          <w:sz w:val="24"/>
          <w:szCs w:val="24"/>
        </w:rPr>
        <w:t xml:space="preserve">муниципальные программы </w:t>
      </w:r>
      <w:r w:rsidR="00D553F0">
        <w:rPr>
          <w:rFonts w:eastAsia="Calibri"/>
          <w:sz w:val="24"/>
          <w:szCs w:val="24"/>
        </w:rPr>
        <w:t>(</w:t>
      </w:r>
      <w:r w:rsidR="00504A3E">
        <w:rPr>
          <w:rFonts w:eastAsia="Calibri"/>
          <w:sz w:val="24"/>
          <w:szCs w:val="24"/>
        </w:rPr>
        <w:t>Развитие жилищно-коммунального хозяйства</w:t>
      </w:r>
      <w:r w:rsidR="00D553F0">
        <w:rPr>
          <w:rFonts w:eastAsia="Calibri"/>
          <w:sz w:val="24"/>
          <w:szCs w:val="24"/>
        </w:rPr>
        <w:t xml:space="preserve">) </w:t>
      </w:r>
      <w:r w:rsidR="00962B18">
        <w:rPr>
          <w:rFonts w:eastAsia="Calibri"/>
          <w:sz w:val="24"/>
          <w:szCs w:val="24"/>
        </w:rPr>
        <w:t>исполнены не в полном объеме</w:t>
      </w:r>
      <w:r w:rsidR="00504A3E">
        <w:rPr>
          <w:rFonts w:eastAsia="Calibri"/>
          <w:sz w:val="24"/>
          <w:szCs w:val="24"/>
        </w:rPr>
        <w:t xml:space="preserve"> 66%</w:t>
      </w:r>
      <w:r w:rsidR="00C64FA5">
        <w:rPr>
          <w:rFonts w:eastAsia="Calibri"/>
          <w:sz w:val="24"/>
          <w:szCs w:val="24"/>
        </w:rPr>
        <w:t>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не оказали</w:t>
      </w:r>
      <w:r w:rsidR="00E81697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201</w:t>
      </w:r>
      <w:r w:rsidR="00504A3E">
        <w:rPr>
          <w:sz w:val="24"/>
          <w:szCs w:val="24"/>
        </w:rPr>
        <w:t>9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proofErr w:type="spellStart"/>
      <w:r w:rsidR="00A33B0E">
        <w:rPr>
          <w:sz w:val="24"/>
          <w:szCs w:val="24"/>
        </w:rPr>
        <w:t>Замзорского</w:t>
      </w:r>
      <w:proofErr w:type="spellEnd"/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6D" w:rsidRDefault="002A4A6D" w:rsidP="001E2130">
      <w:r>
        <w:separator/>
      </w:r>
    </w:p>
  </w:endnote>
  <w:endnote w:type="continuationSeparator" w:id="0">
    <w:p w:rsidR="002A4A6D" w:rsidRDefault="002A4A6D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739"/>
      <w:docPartObj>
        <w:docPartGallery w:val="Page Numbers (Bottom of Page)"/>
        <w:docPartUnique/>
      </w:docPartObj>
    </w:sdtPr>
    <w:sdtEndPr/>
    <w:sdtContent>
      <w:p w:rsidR="002E3EB1" w:rsidRDefault="00701A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EB1" w:rsidRDefault="002E3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6D" w:rsidRDefault="002A4A6D" w:rsidP="001E2130">
      <w:r>
        <w:separator/>
      </w:r>
    </w:p>
  </w:footnote>
  <w:footnote w:type="continuationSeparator" w:id="0">
    <w:p w:rsidR="002A4A6D" w:rsidRDefault="002A4A6D" w:rsidP="001E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F0E"/>
    <w:rsid w:val="00005CC2"/>
    <w:rsid w:val="00005EFB"/>
    <w:rsid w:val="0000711F"/>
    <w:rsid w:val="000110A0"/>
    <w:rsid w:val="0001124D"/>
    <w:rsid w:val="00011514"/>
    <w:rsid w:val="00012184"/>
    <w:rsid w:val="000146C8"/>
    <w:rsid w:val="00014CE7"/>
    <w:rsid w:val="0001568A"/>
    <w:rsid w:val="000165BC"/>
    <w:rsid w:val="00017810"/>
    <w:rsid w:val="000263E1"/>
    <w:rsid w:val="00026A60"/>
    <w:rsid w:val="00026F3C"/>
    <w:rsid w:val="00033721"/>
    <w:rsid w:val="00033D43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6A8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60E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C7EED"/>
    <w:rsid w:val="000D15EB"/>
    <w:rsid w:val="000D508C"/>
    <w:rsid w:val="000D6063"/>
    <w:rsid w:val="000D6703"/>
    <w:rsid w:val="000D6E38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2DB3"/>
    <w:rsid w:val="001138D1"/>
    <w:rsid w:val="0011510A"/>
    <w:rsid w:val="00115FA8"/>
    <w:rsid w:val="00117A71"/>
    <w:rsid w:val="00124A7B"/>
    <w:rsid w:val="00124C7D"/>
    <w:rsid w:val="00126359"/>
    <w:rsid w:val="001269DD"/>
    <w:rsid w:val="00131115"/>
    <w:rsid w:val="0013283D"/>
    <w:rsid w:val="00132867"/>
    <w:rsid w:val="0013526A"/>
    <w:rsid w:val="00137933"/>
    <w:rsid w:val="0014218E"/>
    <w:rsid w:val="0014452A"/>
    <w:rsid w:val="00150232"/>
    <w:rsid w:val="0015236D"/>
    <w:rsid w:val="00156438"/>
    <w:rsid w:val="0015669D"/>
    <w:rsid w:val="00157858"/>
    <w:rsid w:val="00160F44"/>
    <w:rsid w:val="0016134E"/>
    <w:rsid w:val="00162185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90939"/>
    <w:rsid w:val="00190D89"/>
    <w:rsid w:val="001933C8"/>
    <w:rsid w:val="00193B8B"/>
    <w:rsid w:val="00194517"/>
    <w:rsid w:val="001962D4"/>
    <w:rsid w:val="001A01EB"/>
    <w:rsid w:val="001A025A"/>
    <w:rsid w:val="001A1712"/>
    <w:rsid w:val="001A2025"/>
    <w:rsid w:val="001A4220"/>
    <w:rsid w:val="001B08E0"/>
    <w:rsid w:val="001B153D"/>
    <w:rsid w:val="001B2836"/>
    <w:rsid w:val="001B34CD"/>
    <w:rsid w:val="001C228B"/>
    <w:rsid w:val="001C3DD6"/>
    <w:rsid w:val="001C7AA5"/>
    <w:rsid w:val="001C7B67"/>
    <w:rsid w:val="001D07F6"/>
    <w:rsid w:val="001D0B8B"/>
    <w:rsid w:val="001D2C21"/>
    <w:rsid w:val="001D3AA4"/>
    <w:rsid w:val="001E2130"/>
    <w:rsid w:val="001E237E"/>
    <w:rsid w:val="001E244A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30EB"/>
    <w:rsid w:val="00203DDC"/>
    <w:rsid w:val="00206074"/>
    <w:rsid w:val="00206570"/>
    <w:rsid w:val="00206953"/>
    <w:rsid w:val="00212E51"/>
    <w:rsid w:val="00213299"/>
    <w:rsid w:val="002132CD"/>
    <w:rsid w:val="00214021"/>
    <w:rsid w:val="00215E8A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310A5"/>
    <w:rsid w:val="00234155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5BC"/>
    <w:rsid w:val="00247B26"/>
    <w:rsid w:val="00250131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EE4"/>
    <w:rsid w:val="00281755"/>
    <w:rsid w:val="002873AA"/>
    <w:rsid w:val="00287F7C"/>
    <w:rsid w:val="00290E44"/>
    <w:rsid w:val="002917CB"/>
    <w:rsid w:val="00294FEE"/>
    <w:rsid w:val="00295CDE"/>
    <w:rsid w:val="00296062"/>
    <w:rsid w:val="00296BE0"/>
    <w:rsid w:val="00296C9F"/>
    <w:rsid w:val="00296CFF"/>
    <w:rsid w:val="00297BBD"/>
    <w:rsid w:val="002A1062"/>
    <w:rsid w:val="002A2590"/>
    <w:rsid w:val="002A4A6D"/>
    <w:rsid w:val="002A60BE"/>
    <w:rsid w:val="002A7D88"/>
    <w:rsid w:val="002B0561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3EB1"/>
    <w:rsid w:val="002E6CF6"/>
    <w:rsid w:val="002E7C4E"/>
    <w:rsid w:val="002F13FB"/>
    <w:rsid w:val="002F2735"/>
    <w:rsid w:val="002F389E"/>
    <w:rsid w:val="002F4DA4"/>
    <w:rsid w:val="002F7EC5"/>
    <w:rsid w:val="003047A7"/>
    <w:rsid w:val="003059C4"/>
    <w:rsid w:val="00306651"/>
    <w:rsid w:val="003078C1"/>
    <w:rsid w:val="00310F0C"/>
    <w:rsid w:val="00313921"/>
    <w:rsid w:val="003140BD"/>
    <w:rsid w:val="0031731F"/>
    <w:rsid w:val="00321032"/>
    <w:rsid w:val="003210B0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563B2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86B16"/>
    <w:rsid w:val="0039041F"/>
    <w:rsid w:val="0039105D"/>
    <w:rsid w:val="00391696"/>
    <w:rsid w:val="00393518"/>
    <w:rsid w:val="00394E6D"/>
    <w:rsid w:val="0039705B"/>
    <w:rsid w:val="003A0E31"/>
    <w:rsid w:val="003A1327"/>
    <w:rsid w:val="003A2659"/>
    <w:rsid w:val="003A3449"/>
    <w:rsid w:val="003A4447"/>
    <w:rsid w:val="003A4CDD"/>
    <w:rsid w:val="003A5E06"/>
    <w:rsid w:val="003A6F6B"/>
    <w:rsid w:val="003A7FF3"/>
    <w:rsid w:val="003B0761"/>
    <w:rsid w:val="003B1951"/>
    <w:rsid w:val="003B264A"/>
    <w:rsid w:val="003B2794"/>
    <w:rsid w:val="003B3877"/>
    <w:rsid w:val="003B41DC"/>
    <w:rsid w:val="003B420D"/>
    <w:rsid w:val="003B52AB"/>
    <w:rsid w:val="003B7E3D"/>
    <w:rsid w:val="003C0936"/>
    <w:rsid w:val="003C0D33"/>
    <w:rsid w:val="003C0D58"/>
    <w:rsid w:val="003C368F"/>
    <w:rsid w:val="003C4BA8"/>
    <w:rsid w:val="003C693C"/>
    <w:rsid w:val="003D01CD"/>
    <w:rsid w:val="003D1B2D"/>
    <w:rsid w:val="003D2680"/>
    <w:rsid w:val="003D2E84"/>
    <w:rsid w:val="003D351F"/>
    <w:rsid w:val="003D5095"/>
    <w:rsid w:val="003D6254"/>
    <w:rsid w:val="003D6B81"/>
    <w:rsid w:val="003E02BF"/>
    <w:rsid w:val="003E0828"/>
    <w:rsid w:val="003E2FA7"/>
    <w:rsid w:val="003E56A9"/>
    <w:rsid w:val="003E7C1F"/>
    <w:rsid w:val="003F1E1C"/>
    <w:rsid w:val="003F3239"/>
    <w:rsid w:val="003F4905"/>
    <w:rsid w:val="003F4BDA"/>
    <w:rsid w:val="003F6FCE"/>
    <w:rsid w:val="00402CE9"/>
    <w:rsid w:val="004040C3"/>
    <w:rsid w:val="00404624"/>
    <w:rsid w:val="00405B89"/>
    <w:rsid w:val="00407EF0"/>
    <w:rsid w:val="00416D26"/>
    <w:rsid w:val="00425740"/>
    <w:rsid w:val="00427B04"/>
    <w:rsid w:val="00432A3C"/>
    <w:rsid w:val="00434A56"/>
    <w:rsid w:val="00435482"/>
    <w:rsid w:val="004368A8"/>
    <w:rsid w:val="004417CD"/>
    <w:rsid w:val="00443FE7"/>
    <w:rsid w:val="00444134"/>
    <w:rsid w:val="00444221"/>
    <w:rsid w:val="00444CF5"/>
    <w:rsid w:val="00452209"/>
    <w:rsid w:val="00456515"/>
    <w:rsid w:val="00457DDF"/>
    <w:rsid w:val="00460302"/>
    <w:rsid w:val="00460402"/>
    <w:rsid w:val="00460B78"/>
    <w:rsid w:val="004624DA"/>
    <w:rsid w:val="0046373A"/>
    <w:rsid w:val="004645FB"/>
    <w:rsid w:val="0046539B"/>
    <w:rsid w:val="0046792C"/>
    <w:rsid w:val="00472448"/>
    <w:rsid w:val="004727FD"/>
    <w:rsid w:val="00472B48"/>
    <w:rsid w:val="00475A04"/>
    <w:rsid w:val="004769F6"/>
    <w:rsid w:val="0047712F"/>
    <w:rsid w:val="00477C0F"/>
    <w:rsid w:val="0048107F"/>
    <w:rsid w:val="00481C16"/>
    <w:rsid w:val="0048230B"/>
    <w:rsid w:val="00482ADF"/>
    <w:rsid w:val="0048393E"/>
    <w:rsid w:val="00483E03"/>
    <w:rsid w:val="00490577"/>
    <w:rsid w:val="00490E8F"/>
    <w:rsid w:val="0049208D"/>
    <w:rsid w:val="004921B0"/>
    <w:rsid w:val="00492D51"/>
    <w:rsid w:val="004934CC"/>
    <w:rsid w:val="00493615"/>
    <w:rsid w:val="0049379F"/>
    <w:rsid w:val="00496CC0"/>
    <w:rsid w:val="004976F0"/>
    <w:rsid w:val="004A0A4F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254C"/>
    <w:rsid w:val="004D4128"/>
    <w:rsid w:val="004D56EB"/>
    <w:rsid w:val="004D74C1"/>
    <w:rsid w:val="004D7A74"/>
    <w:rsid w:val="004D7BA2"/>
    <w:rsid w:val="004E09BA"/>
    <w:rsid w:val="004E2F9A"/>
    <w:rsid w:val="004E3E85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D0A"/>
    <w:rsid w:val="00500E02"/>
    <w:rsid w:val="00502635"/>
    <w:rsid w:val="00504A3E"/>
    <w:rsid w:val="00504B61"/>
    <w:rsid w:val="00506820"/>
    <w:rsid w:val="00507A2C"/>
    <w:rsid w:val="00511581"/>
    <w:rsid w:val="005122C6"/>
    <w:rsid w:val="005126B9"/>
    <w:rsid w:val="00515C2A"/>
    <w:rsid w:val="00516960"/>
    <w:rsid w:val="005175BD"/>
    <w:rsid w:val="00517D1B"/>
    <w:rsid w:val="0052193A"/>
    <w:rsid w:val="00524986"/>
    <w:rsid w:val="00525AE4"/>
    <w:rsid w:val="00531FE6"/>
    <w:rsid w:val="0053244A"/>
    <w:rsid w:val="005335DE"/>
    <w:rsid w:val="00545A4D"/>
    <w:rsid w:val="00545B93"/>
    <w:rsid w:val="00546CA7"/>
    <w:rsid w:val="00547A3F"/>
    <w:rsid w:val="00550CE9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2E"/>
    <w:rsid w:val="00570E90"/>
    <w:rsid w:val="005717CA"/>
    <w:rsid w:val="00572502"/>
    <w:rsid w:val="00574581"/>
    <w:rsid w:val="00575316"/>
    <w:rsid w:val="00575696"/>
    <w:rsid w:val="00575CDA"/>
    <w:rsid w:val="005770E0"/>
    <w:rsid w:val="00580C2E"/>
    <w:rsid w:val="0058269F"/>
    <w:rsid w:val="005858A7"/>
    <w:rsid w:val="00586990"/>
    <w:rsid w:val="00586FFE"/>
    <w:rsid w:val="0058780A"/>
    <w:rsid w:val="00590751"/>
    <w:rsid w:val="00594F60"/>
    <w:rsid w:val="00596813"/>
    <w:rsid w:val="00597C97"/>
    <w:rsid w:val="005A09F8"/>
    <w:rsid w:val="005A0CBC"/>
    <w:rsid w:val="005A3BEC"/>
    <w:rsid w:val="005A5F47"/>
    <w:rsid w:val="005A69FE"/>
    <w:rsid w:val="005B1883"/>
    <w:rsid w:val="005B6CDD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4B06"/>
    <w:rsid w:val="005F52E1"/>
    <w:rsid w:val="005F6024"/>
    <w:rsid w:val="005F75D0"/>
    <w:rsid w:val="005F7666"/>
    <w:rsid w:val="00601523"/>
    <w:rsid w:val="006022E1"/>
    <w:rsid w:val="00602BEE"/>
    <w:rsid w:val="00605800"/>
    <w:rsid w:val="00605A03"/>
    <w:rsid w:val="00605FB1"/>
    <w:rsid w:val="00610B30"/>
    <w:rsid w:val="006116E8"/>
    <w:rsid w:val="0061228B"/>
    <w:rsid w:val="00612C6F"/>
    <w:rsid w:val="00613D28"/>
    <w:rsid w:val="00615129"/>
    <w:rsid w:val="00616FFA"/>
    <w:rsid w:val="006248BD"/>
    <w:rsid w:val="006258E6"/>
    <w:rsid w:val="0062706E"/>
    <w:rsid w:val="00627930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36387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173A"/>
    <w:rsid w:val="00661A2A"/>
    <w:rsid w:val="00662E70"/>
    <w:rsid w:val="006642F3"/>
    <w:rsid w:val="00665158"/>
    <w:rsid w:val="006666B8"/>
    <w:rsid w:val="00666E8A"/>
    <w:rsid w:val="006674E4"/>
    <w:rsid w:val="006701C1"/>
    <w:rsid w:val="00674158"/>
    <w:rsid w:val="00675A9F"/>
    <w:rsid w:val="006813E2"/>
    <w:rsid w:val="00681E07"/>
    <w:rsid w:val="00682126"/>
    <w:rsid w:val="006841D0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331D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0C80"/>
    <w:rsid w:val="006E1F57"/>
    <w:rsid w:val="006E2892"/>
    <w:rsid w:val="006E77B1"/>
    <w:rsid w:val="006F0639"/>
    <w:rsid w:val="006F25E1"/>
    <w:rsid w:val="006F4992"/>
    <w:rsid w:val="00701A88"/>
    <w:rsid w:val="00701E29"/>
    <w:rsid w:val="00702A5A"/>
    <w:rsid w:val="00702EAB"/>
    <w:rsid w:val="0070315D"/>
    <w:rsid w:val="00703BF2"/>
    <w:rsid w:val="00706538"/>
    <w:rsid w:val="00707772"/>
    <w:rsid w:val="00707FF3"/>
    <w:rsid w:val="0071149F"/>
    <w:rsid w:val="00714C12"/>
    <w:rsid w:val="007160C8"/>
    <w:rsid w:val="00721A17"/>
    <w:rsid w:val="00722F1A"/>
    <w:rsid w:val="0072499B"/>
    <w:rsid w:val="00725389"/>
    <w:rsid w:val="00727AF1"/>
    <w:rsid w:val="00727CB9"/>
    <w:rsid w:val="0073086D"/>
    <w:rsid w:val="00731D00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65A7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31C4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3A48"/>
    <w:rsid w:val="007C4D37"/>
    <w:rsid w:val="007C6940"/>
    <w:rsid w:val="007C75E6"/>
    <w:rsid w:val="007D456A"/>
    <w:rsid w:val="007D45B3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E74E3"/>
    <w:rsid w:val="007F1D51"/>
    <w:rsid w:val="007F49EC"/>
    <w:rsid w:val="007F510D"/>
    <w:rsid w:val="007F6128"/>
    <w:rsid w:val="007F61B0"/>
    <w:rsid w:val="007F7EFF"/>
    <w:rsid w:val="008006EE"/>
    <w:rsid w:val="00803563"/>
    <w:rsid w:val="0080556E"/>
    <w:rsid w:val="008058A3"/>
    <w:rsid w:val="00806944"/>
    <w:rsid w:val="00806D3F"/>
    <w:rsid w:val="008073F1"/>
    <w:rsid w:val="00810AF5"/>
    <w:rsid w:val="00810EFB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277"/>
    <w:rsid w:val="008611AC"/>
    <w:rsid w:val="008614DD"/>
    <w:rsid w:val="00864129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07DDB"/>
    <w:rsid w:val="009105DD"/>
    <w:rsid w:val="00910C53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370C0"/>
    <w:rsid w:val="00940DC1"/>
    <w:rsid w:val="0094246F"/>
    <w:rsid w:val="00943746"/>
    <w:rsid w:val="00943D4F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2B18"/>
    <w:rsid w:val="009645D5"/>
    <w:rsid w:val="00964B0D"/>
    <w:rsid w:val="009661F7"/>
    <w:rsid w:val="009672CD"/>
    <w:rsid w:val="00971D39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97714"/>
    <w:rsid w:val="009A30CB"/>
    <w:rsid w:val="009A4065"/>
    <w:rsid w:val="009A4B20"/>
    <w:rsid w:val="009B2F11"/>
    <w:rsid w:val="009B375C"/>
    <w:rsid w:val="009B46AF"/>
    <w:rsid w:val="009B5A2E"/>
    <w:rsid w:val="009B5D5A"/>
    <w:rsid w:val="009B60AF"/>
    <w:rsid w:val="009C0D18"/>
    <w:rsid w:val="009C0FD0"/>
    <w:rsid w:val="009C16DD"/>
    <w:rsid w:val="009C18CE"/>
    <w:rsid w:val="009C2905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3D16"/>
    <w:rsid w:val="00A04E7A"/>
    <w:rsid w:val="00A05A44"/>
    <w:rsid w:val="00A079D2"/>
    <w:rsid w:val="00A12662"/>
    <w:rsid w:val="00A127C1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B0E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3A70"/>
    <w:rsid w:val="00A551DF"/>
    <w:rsid w:val="00A55D66"/>
    <w:rsid w:val="00A5613C"/>
    <w:rsid w:val="00A5664C"/>
    <w:rsid w:val="00A569E4"/>
    <w:rsid w:val="00A617AF"/>
    <w:rsid w:val="00A61DCA"/>
    <w:rsid w:val="00A629AF"/>
    <w:rsid w:val="00A62E41"/>
    <w:rsid w:val="00A70AB8"/>
    <w:rsid w:val="00A723EF"/>
    <w:rsid w:val="00A72415"/>
    <w:rsid w:val="00A7500A"/>
    <w:rsid w:val="00A770A0"/>
    <w:rsid w:val="00A80202"/>
    <w:rsid w:val="00A81A83"/>
    <w:rsid w:val="00A85885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A6B30"/>
    <w:rsid w:val="00AB0CA0"/>
    <w:rsid w:val="00AB136C"/>
    <w:rsid w:val="00AB252E"/>
    <w:rsid w:val="00AB2ABE"/>
    <w:rsid w:val="00AB5784"/>
    <w:rsid w:val="00AB7D2F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0590"/>
    <w:rsid w:val="00B11F2D"/>
    <w:rsid w:val="00B15A3E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34FE2"/>
    <w:rsid w:val="00B405D0"/>
    <w:rsid w:val="00B43186"/>
    <w:rsid w:val="00B5288F"/>
    <w:rsid w:val="00B5362D"/>
    <w:rsid w:val="00B54659"/>
    <w:rsid w:val="00B5469F"/>
    <w:rsid w:val="00B569F7"/>
    <w:rsid w:val="00B56C7D"/>
    <w:rsid w:val="00B60D68"/>
    <w:rsid w:val="00B61252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0AD2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5EA7"/>
    <w:rsid w:val="00BA6189"/>
    <w:rsid w:val="00BA64BC"/>
    <w:rsid w:val="00BA7B80"/>
    <w:rsid w:val="00BB1701"/>
    <w:rsid w:val="00BB2126"/>
    <w:rsid w:val="00BB2EF5"/>
    <w:rsid w:val="00BB34E5"/>
    <w:rsid w:val="00BB5600"/>
    <w:rsid w:val="00BC0824"/>
    <w:rsid w:val="00BC2F9A"/>
    <w:rsid w:val="00BC50D7"/>
    <w:rsid w:val="00BD1DB1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43C"/>
    <w:rsid w:val="00BF0A24"/>
    <w:rsid w:val="00BF3FE7"/>
    <w:rsid w:val="00BF4B07"/>
    <w:rsid w:val="00BF5874"/>
    <w:rsid w:val="00C01633"/>
    <w:rsid w:val="00C0296D"/>
    <w:rsid w:val="00C03450"/>
    <w:rsid w:val="00C03FC6"/>
    <w:rsid w:val="00C0403E"/>
    <w:rsid w:val="00C04647"/>
    <w:rsid w:val="00C04A36"/>
    <w:rsid w:val="00C07E92"/>
    <w:rsid w:val="00C122F6"/>
    <w:rsid w:val="00C13AA7"/>
    <w:rsid w:val="00C15362"/>
    <w:rsid w:val="00C153AA"/>
    <w:rsid w:val="00C17143"/>
    <w:rsid w:val="00C216F8"/>
    <w:rsid w:val="00C2194F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43317"/>
    <w:rsid w:val="00C506DC"/>
    <w:rsid w:val="00C5078C"/>
    <w:rsid w:val="00C53E85"/>
    <w:rsid w:val="00C544F5"/>
    <w:rsid w:val="00C57DF4"/>
    <w:rsid w:val="00C61B6E"/>
    <w:rsid w:val="00C62478"/>
    <w:rsid w:val="00C64FA5"/>
    <w:rsid w:val="00C6690B"/>
    <w:rsid w:val="00C66AC5"/>
    <w:rsid w:val="00C67932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959FB"/>
    <w:rsid w:val="00CA437C"/>
    <w:rsid w:val="00CA7403"/>
    <w:rsid w:val="00CB2043"/>
    <w:rsid w:val="00CB3EC9"/>
    <w:rsid w:val="00CB46FC"/>
    <w:rsid w:val="00CB52D0"/>
    <w:rsid w:val="00CC04F7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14AC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1788E"/>
    <w:rsid w:val="00D20C93"/>
    <w:rsid w:val="00D20E42"/>
    <w:rsid w:val="00D259B1"/>
    <w:rsid w:val="00D27898"/>
    <w:rsid w:val="00D32650"/>
    <w:rsid w:val="00D32D6C"/>
    <w:rsid w:val="00D347C2"/>
    <w:rsid w:val="00D35437"/>
    <w:rsid w:val="00D424FF"/>
    <w:rsid w:val="00D42630"/>
    <w:rsid w:val="00D427F4"/>
    <w:rsid w:val="00D42D1B"/>
    <w:rsid w:val="00D42EBA"/>
    <w:rsid w:val="00D438CC"/>
    <w:rsid w:val="00D4394C"/>
    <w:rsid w:val="00D45361"/>
    <w:rsid w:val="00D4570A"/>
    <w:rsid w:val="00D463E0"/>
    <w:rsid w:val="00D508B9"/>
    <w:rsid w:val="00D50BCE"/>
    <w:rsid w:val="00D50DA9"/>
    <w:rsid w:val="00D52070"/>
    <w:rsid w:val="00D53E32"/>
    <w:rsid w:val="00D54E15"/>
    <w:rsid w:val="00D553F0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46F"/>
    <w:rsid w:val="00D73A05"/>
    <w:rsid w:val="00D74B06"/>
    <w:rsid w:val="00D77C0E"/>
    <w:rsid w:val="00D805D7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2A11"/>
    <w:rsid w:val="00DA3EA8"/>
    <w:rsid w:val="00DA5B05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15C2"/>
    <w:rsid w:val="00DF4082"/>
    <w:rsid w:val="00DF6F04"/>
    <w:rsid w:val="00DF730E"/>
    <w:rsid w:val="00E01327"/>
    <w:rsid w:val="00E01528"/>
    <w:rsid w:val="00E02601"/>
    <w:rsid w:val="00E02CAB"/>
    <w:rsid w:val="00E04C63"/>
    <w:rsid w:val="00E05115"/>
    <w:rsid w:val="00E07438"/>
    <w:rsid w:val="00E10CBD"/>
    <w:rsid w:val="00E123B5"/>
    <w:rsid w:val="00E133CC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1240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4F34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1697"/>
    <w:rsid w:val="00E8223F"/>
    <w:rsid w:val="00E8394D"/>
    <w:rsid w:val="00E842CC"/>
    <w:rsid w:val="00E85570"/>
    <w:rsid w:val="00E8729F"/>
    <w:rsid w:val="00E8744F"/>
    <w:rsid w:val="00E879AD"/>
    <w:rsid w:val="00E9072F"/>
    <w:rsid w:val="00E945EF"/>
    <w:rsid w:val="00E95560"/>
    <w:rsid w:val="00E95A1D"/>
    <w:rsid w:val="00E95F3B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3A"/>
    <w:rsid w:val="00EE61A5"/>
    <w:rsid w:val="00EE7265"/>
    <w:rsid w:val="00EF3871"/>
    <w:rsid w:val="00EF71F5"/>
    <w:rsid w:val="00F0344A"/>
    <w:rsid w:val="00F03844"/>
    <w:rsid w:val="00F0384C"/>
    <w:rsid w:val="00F03D6B"/>
    <w:rsid w:val="00F040ED"/>
    <w:rsid w:val="00F041AF"/>
    <w:rsid w:val="00F06843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15DC"/>
    <w:rsid w:val="00F62C60"/>
    <w:rsid w:val="00F63578"/>
    <w:rsid w:val="00F656A0"/>
    <w:rsid w:val="00F66343"/>
    <w:rsid w:val="00F67A15"/>
    <w:rsid w:val="00F71A20"/>
    <w:rsid w:val="00F73790"/>
    <w:rsid w:val="00F772E7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4956"/>
    <w:rsid w:val="00F95CEC"/>
    <w:rsid w:val="00FA0877"/>
    <w:rsid w:val="00FA1FD2"/>
    <w:rsid w:val="00FA4615"/>
    <w:rsid w:val="00FA49A1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CA7"/>
    <w:rsid w:val="00FD7F01"/>
    <w:rsid w:val="00FE029B"/>
    <w:rsid w:val="00FE0CB1"/>
    <w:rsid w:val="00FE2E20"/>
    <w:rsid w:val="00FE389D"/>
    <w:rsid w:val="00FE3EBB"/>
    <w:rsid w:val="00FE4CBC"/>
    <w:rsid w:val="00FE5D2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ED2C-B128-4417-8855-F295F72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Алеся</cp:lastModifiedBy>
  <cp:revision>88</cp:revision>
  <cp:lastPrinted>2019-05-23T07:22:00Z</cp:lastPrinted>
  <dcterms:created xsi:type="dcterms:W3CDTF">2017-03-02T08:22:00Z</dcterms:created>
  <dcterms:modified xsi:type="dcterms:W3CDTF">2020-06-11T07:46:00Z</dcterms:modified>
</cp:coreProperties>
</file>