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4" w:rsidRDefault="00E16C54" w:rsidP="00E16C54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6C54" w:rsidRPr="00E16C54" w:rsidRDefault="00E16C54" w:rsidP="00E16C54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sz w:val="16"/>
          <w:szCs w:val="16"/>
        </w:rPr>
        <w:t>17.04.2017г. № 156</w:t>
      </w:r>
    </w:p>
    <w:p w:rsidR="00E16C54" w:rsidRPr="00E16C54" w:rsidRDefault="00E16C54" w:rsidP="00E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E16C54" w:rsidRPr="00E16C54" w:rsidRDefault="00E16C54" w:rsidP="00E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E16C54" w:rsidRPr="00E16C54" w:rsidRDefault="00E16C54" w:rsidP="00E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E16C54" w:rsidRPr="00E16C54" w:rsidRDefault="00E16C54" w:rsidP="00E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E16C54" w:rsidRPr="00E16C54" w:rsidRDefault="00E16C54" w:rsidP="00E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E16C54" w:rsidRPr="00E16C54" w:rsidRDefault="00E16C54" w:rsidP="00E16C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E16C54" w:rsidRPr="00E16C54" w:rsidRDefault="00E16C54" w:rsidP="00E1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6C54" w:rsidRPr="00E16C54" w:rsidRDefault="00E16C54" w:rsidP="00E1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 В УСТАВ</w:t>
      </w:r>
    </w:p>
    <w:p w:rsidR="00E16C54" w:rsidRPr="00E16C54" w:rsidRDefault="00E16C54" w:rsidP="00E1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E16C54" w:rsidRPr="00E16C54" w:rsidRDefault="00E16C54" w:rsidP="00E16C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6C54" w:rsidRDefault="00E16C54" w:rsidP="00E16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spacing w:val="1"/>
          <w:sz w:val="16"/>
          <w:szCs w:val="1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Дума Замзорского муниципального образования</w:t>
      </w:r>
    </w:p>
    <w:p w:rsidR="00E16C54" w:rsidRPr="00E16C54" w:rsidRDefault="00E16C54" w:rsidP="00E16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E16C54" w:rsidRDefault="00E16C54" w:rsidP="00E1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E16C54" w:rsidRPr="00E16C54" w:rsidRDefault="00E16C54" w:rsidP="00E1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6C54" w:rsidRPr="00E16C54" w:rsidRDefault="00E16C54" w:rsidP="00E16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1. Внести в Устав Замзорского муниципального </w:t>
      </w:r>
      <w:r w:rsidRPr="00E16C54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образования</w:t>
      </w:r>
      <w:r w:rsidRPr="00E16C54"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следующие изменения и дополнения</w:t>
      </w:r>
      <w:r w:rsidRPr="00E16C54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:</w:t>
      </w:r>
    </w:p>
    <w:p w:rsidR="00E16C54" w:rsidRDefault="00E16C54" w:rsidP="00E16C54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1. статью 6 изложить в следующей редакции:</w:t>
      </w:r>
    </w:p>
    <w:p w:rsidR="00E16C54" w:rsidRDefault="00E16C54" w:rsidP="00E16C5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Pr="00E16C54" w:rsidRDefault="00E16C54" w:rsidP="00E16C5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«Статья 6. Вопросы местного значения Поселения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1. В соответствии с Федеральным законом к вопросам местного значения поселения относятся: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1) 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составление и рассмотрение проекта бюджета поселения, утверждение и исполнение  бюджета поселения, осуществление </w:t>
      </w:r>
      <w:proofErr w:type="gramStart"/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>контроля за</w:t>
      </w:r>
      <w:proofErr w:type="gramEnd"/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его исполнением, составление и утверждение отчёта об исполнении бюджета поселения.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2) установление, изменение и отмена местных налогов и сборов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3) владение, пользование и распоряжение имуществом, находящимся в муниципальной собственности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4) организация в границах поселения электро-, тепл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о-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законодательством Российской Федерации;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8) участие в предупреждении и ликвидации последствий чрезвычайных ситуаций в границах Поселения; 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9) обеспечение первичных мер пожарной безопасности в границах населенных пунктов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17) формирование архивных фондов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18) участие в организации деятельности по сбору (в том числе раздельному сбору) транспортированию твердых коммунальных отходов;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19) 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утверждение правил благоустройства территории поселения, </w:t>
      </w:r>
      <w:proofErr w:type="gramStart"/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>устанавливающих</w:t>
      </w:r>
      <w:proofErr w:type="gramEnd"/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</w:t>
      </w:r>
      <w:r w:rsidRPr="00E16C54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21)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 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22) организация ритуальных услуг и содержание мест захоронения;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26) организация и осуществление мероприятий по работе с детьми и молодежью в Поселении;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27) 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дружин.  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28) 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29) осуществление мер по противодействию коррупции в границах поселения; 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30) участие в соответствии с Федеральным </w:t>
      </w:r>
      <w:hyperlink r:id="rId9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  <w:u w:val="single"/>
          </w:rPr>
          <w:t>законом</w:t>
        </w:r>
      </w:hyperlink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от 24 июля 2007 года N 221-ФЗ «О государственном кадастре недвижимости" в выполнении комплексных кадастровых работ»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.»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E16C54" w:rsidRPr="00E16C54" w:rsidRDefault="00E16C54" w:rsidP="00E16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2) 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>часть 1 статьи 7 дополнить пунктом 14 следующего содержания: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10" w:history="1">
        <w:r w:rsidRPr="00E16C54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«Об основах системы профилактики правонарушений в Российской Федерации»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.»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3) пункт 1 части 3 статьи 17 изложить в следующей редакции:</w:t>
      </w:r>
    </w:p>
    <w:p w:rsid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</w:p>
    <w:p w:rsid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образования вносятся изменения в форме точного воспроизведения положений </w:t>
      </w:r>
      <w:hyperlink r:id="rId11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Конституции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;»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E16C54" w:rsidRPr="00E16C54" w:rsidRDefault="00E16C54" w:rsidP="00E16C5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4) часть 9 статьи 24 изложить в следующей редакции: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«9. Глава муниципального образования</w:t>
      </w:r>
      <w:r w:rsidRPr="00E16C54">
        <w:rPr>
          <w:rFonts w:ascii="Times New Roman" w:eastAsia="Times New Roman" w:hAnsi="Times New Roman" w:cs="Times New Roman"/>
          <w:color w:val="0000FF"/>
          <w:sz w:val="14"/>
          <w:szCs w:val="14"/>
        </w:rPr>
        <w:t xml:space="preserve"> 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.»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5) в статье 27: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а) абзац 4 пункта 3 части 2 изложить в следующей редакции: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«В стаж муниципальной службы для назначения ежемесячной доплаты, указанной в </w:t>
      </w:r>
      <w:hyperlink r:id="rId12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абзаце четвертом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.»;</w:t>
      </w:r>
      <w:proofErr w:type="gramEnd"/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б) пункт 4 части 2 изложить в следующей редакции: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«4) </w:t>
      </w:r>
      <w:r w:rsidRPr="00E16C54">
        <w:rPr>
          <w:rFonts w:ascii="Times New Roman" w:eastAsia="Times New Roman" w:hAnsi="Times New Roman" w:cs="Times New Roman"/>
          <w:bCs/>
          <w:sz w:val="14"/>
          <w:szCs w:val="14"/>
        </w:rPr>
        <w:t xml:space="preserve">единовременная выплата в размере трехмесячной оплаты труда, 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осуществлявшему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13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абзацем седьмым части 16 статьи 35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14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пунктами 2.1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15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3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16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6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- </w:t>
      </w:r>
      <w:hyperlink r:id="rId17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9 части 6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18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частью 6.1 статьи 36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19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частью 7.1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20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пунктами 5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- </w:t>
      </w:r>
      <w:hyperlink r:id="rId21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8 части 10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22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частью 10.1 статьи 40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hyperlink r:id="rId23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частями 1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и</w:t>
      </w:r>
      <w:proofErr w:type="gramEnd"/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hyperlink r:id="rId24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2 статьи 73</w:t>
        </w:r>
      </w:hyperlink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Федерального закона «Об общих принципах организации местного самоуправления в Российской Федерации».;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6) статью 30 изложить в следующей редакции: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«Статья 30. Исполнение обязанностей Главы Поселения в случае досрочного прекращения его полномочий или при его временном отсутствии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главный специалист или специалист администрации.</w:t>
      </w:r>
    </w:p>
    <w:p w:rsidR="00E16C54" w:rsidRPr="00E16C54" w:rsidRDefault="00E16C54" w:rsidP="00E16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2. 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В период временного отсутствия Главы Поселения (в связи с отпуском, командировкой, болезнью) его полномочия исполняет ведущий или главный специалист администрации на основании распоряжения администрации, за исключением полномочий по приему и увольнению работников администрации, руководителей муниципальных учреждений, утверждению штатного расписания администрации, подписанию нормативных правовых актов Думы Поселения, кроме решений Думы Поселения об утверждении местного бюджета, кассовых, банковских документов, распорядительных заявок, договоров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>, счетов к оплате, товарных накладных, реестров на оплату расходов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.»;</w:t>
      </w:r>
      <w:proofErr w:type="gramEnd"/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7) в части 7 статьи 38 слова «</w:t>
      </w:r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Федеральным </w:t>
      </w:r>
      <w:hyperlink r:id="rId25" w:history="1">
        <w:r w:rsidRPr="00E16C54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законом</w:t>
        </w:r>
      </w:hyperlink>
      <w:r w:rsidRPr="00E16C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8) в части 1 статьи 45 второе предложение изложить в следующей редакции: «Не требуется официальное опубликование (обнародование) порядка учета предложений по проекту решения Думы о внесении изменений в Устав муниципального образования, а также порядка участия граждан в его обсуждении 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законом, устава или закона Иркутской </w:t>
      </w:r>
    </w:p>
    <w:p w:rsid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области в целях приведения Устава в соответствие с этими нормативными правовыми актами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.»;   </w:t>
      </w:r>
      <w:proofErr w:type="gramEnd"/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9) часть 1 статьи 54 дополнить пунктом 5 следующего содержания: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«5)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».;</w:t>
      </w:r>
      <w:proofErr w:type="gramEnd"/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10) части 3-14 статьи 73.1. исключить;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11) дополнить статьей 74.1. следующего содержания: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«Статья 74.1. Ответственность Думы Поселения перед государством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1)  Думой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Замзорского муниципального образования,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числе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не отменила соответствующий нормативный правовой акт;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3) вновь избранная в правомочном составе Дума Поселения в течение трех месяцев подряд не п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>роводила правомочного заседания</w:t>
      </w:r>
      <w:r w:rsidRPr="00E16C54">
        <w:rPr>
          <w:rFonts w:ascii="Times New Roman" w:eastAsia="Times New Roman" w:hAnsi="Times New Roman" w:cs="Times New Roman"/>
          <w:sz w:val="14"/>
          <w:szCs w:val="14"/>
        </w:rPr>
        <w:t>»;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12) дополнить статьей 74.2. следующего содержания: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«Статья 74.2. Ответственность главы муниципального образования перед государством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1. Ответственность Главы Поселения перед государством наступает в случае: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Замзорского муниципального образования,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 решения суда;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 w:rsidRPr="00E16C54">
        <w:rPr>
          <w:rFonts w:ascii="Times New Roman" w:eastAsia="Times New Roman" w:hAnsi="Times New Roman" w:cs="Times New Roman"/>
          <w:sz w:val="14"/>
          <w:szCs w:val="14"/>
        </w:rPr>
        <w:t>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sz w:val="14"/>
          <w:szCs w:val="14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E16C54">
        <w:rPr>
          <w:rFonts w:ascii="Times New Roman" w:eastAsia="Times New Roman" w:hAnsi="Times New Roman" w:cs="Times New Roman"/>
          <w:sz w:val="14"/>
          <w:szCs w:val="14"/>
        </w:rPr>
        <w:t xml:space="preserve">.».   </w:t>
      </w:r>
      <w:proofErr w:type="gramEnd"/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3. </w:t>
      </w:r>
      <w:proofErr w:type="gramStart"/>
      <w:r w:rsidRPr="00E16C54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Главе Замзорского муниципального образования опубликовать муниципальный правовой акт Замзорского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16C54" w:rsidRPr="00E16C54" w:rsidRDefault="00E16C54" w:rsidP="00E1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</w:pPr>
      <w:r w:rsidRPr="00E16C54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4. Настоящее решение вступает в силу после государственной регистрации и опубликования в «Вестнике Замзорского сельского поселения».</w:t>
      </w:r>
    </w:p>
    <w:p w:rsidR="00E16C54" w:rsidRPr="00E16C54" w:rsidRDefault="00E16C54" w:rsidP="00E16C5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6C54" w:rsidRPr="00E16C54" w:rsidRDefault="00E16C54" w:rsidP="00E16C5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6C54" w:rsidRPr="00E16C54" w:rsidRDefault="00E16C54" w:rsidP="00E16C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Глава Замзорского</w:t>
      </w:r>
    </w:p>
    <w:p w:rsidR="00E16C54" w:rsidRPr="00E16C54" w:rsidRDefault="00E16C54" w:rsidP="00E1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E16C5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В.В. Антоненко</w:t>
      </w:r>
    </w:p>
    <w:p w:rsidR="00E16C54" w:rsidRDefault="00E16C5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E16C54" w:rsidSect="00E16C54">
          <w:headerReference w:type="default" r:id="rId26"/>
          <w:headerReference w:type="first" r:id="rId27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16C54" w:rsidRDefault="00E16C5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6C54" w:rsidRDefault="00E16C5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16C54" w:rsidRDefault="00E16C5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6" w:rsidRDefault="00B16CF6" w:rsidP="0015601B">
      <w:pPr>
        <w:spacing w:after="0" w:line="240" w:lineRule="auto"/>
      </w:pPr>
      <w:r>
        <w:separator/>
      </w:r>
    </w:p>
  </w:endnote>
  <w:endnote w:type="continuationSeparator" w:id="0">
    <w:p w:rsidR="00B16CF6" w:rsidRDefault="00B16CF6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6" w:rsidRDefault="00B16CF6" w:rsidP="0015601B">
      <w:pPr>
        <w:spacing w:after="0" w:line="240" w:lineRule="auto"/>
      </w:pPr>
      <w:r>
        <w:separator/>
      </w:r>
    </w:p>
  </w:footnote>
  <w:footnote w:type="continuationSeparator" w:id="0">
    <w:p w:rsidR="00B16CF6" w:rsidRDefault="00B16CF6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145802777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C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E16C54">
          <w:rPr>
            <w:rFonts w:ascii="Times New Roman" w:hAnsi="Times New Roman" w:cs="Times New Roman"/>
            <w:sz w:val="28"/>
            <w:szCs w:val="28"/>
          </w:rPr>
          <w:t>9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E16C54">
          <w:rPr>
            <w:rFonts w:ascii="Times New Roman" w:hAnsi="Times New Roman" w:cs="Times New Roman"/>
            <w:sz w:val="28"/>
            <w:szCs w:val="28"/>
          </w:rPr>
          <w:t>26 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C" w:rsidRDefault="00B16CF6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E16C5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E16C5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26 апреля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B292C"/>
    <w:rsid w:val="00155D3B"/>
    <w:rsid w:val="0015601B"/>
    <w:rsid w:val="001659A6"/>
    <w:rsid w:val="001A40D0"/>
    <w:rsid w:val="00385F9E"/>
    <w:rsid w:val="003E4555"/>
    <w:rsid w:val="00446C03"/>
    <w:rsid w:val="00476809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16CF6"/>
    <w:rsid w:val="00B47541"/>
    <w:rsid w:val="00B81CC0"/>
    <w:rsid w:val="00BD1021"/>
    <w:rsid w:val="00CE1FB3"/>
    <w:rsid w:val="00D2073C"/>
    <w:rsid w:val="00E16C54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B595C870C622B6864EEFDF1E73B2B923C6DB7417B92AFE04F0DAF69A8598C0F4D3A81E3BBF31CFX9m3I" TargetMode="External"/><Relationship Id="rId18" Type="http://schemas.openxmlformats.org/officeDocument/2006/relationships/hyperlink" Target="consultantplus://offline/ref=E5B595C870C622B6864EEFDF1E73B2B923C6DB7417B92AFE04F0DAF69A8598C0F4D3A81E3BBF31C9X9mB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B595C870C622B6864EEFDF1E73B2B923C6DB7417B92AFE04F0DAF69A8598C0F4D3A81E3BBE36CCX9m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48724E4EF78AE88F0937B12468B2F7882B5CC306BDAFCA5ACD1382BCD1DECDCEEA5A7B11E13BB9B852D6BAGFa1I" TargetMode="External"/><Relationship Id="rId17" Type="http://schemas.openxmlformats.org/officeDocument/2006/relationships/hyperlink" Target="consultantplus://offline/ref=E5B595C870C622B6864EEFDF1E73B2B923C6DB7417B92AFE04F0DAF69A8598C0F4D3A81E3BBE37C8X9m9I" TargetMode="External"/><Relationship Id="rId25" Type="http://schemas.openxmlformats.org/officeDocument/2006/relationships/hyperlink" Target="consultantplus://offline/ref=6C897327EB4C6232B158B581EEA0D5679377F03533715B01F5214A75A6CAb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B595C870C622B6864EEFDF1E73B2B923C6DB7417B92AFE04F0DAF69A8598C0F4D3A81E3BBE37C8X9mAI" TargetMode="External"/><Relationship Id="rId20" Type="http://schemas.openxmlformats.org/officeDocument/2006/relationships/hyperlink" Target="consultantplus://offline/ref=E5B595C870C622B6864EEFDF1E73B2B923C6DB7417B92AFE04F0DAF69A8598C0F4D3A81E3BBE36CFX9m3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FD476579CBCAA40A8C45EBDF8119764D39995F2D05DF3E735D33L0K1C" TargetMode="External"/><Relationship Id="rId24" Type="http://schemas.openxmlformats.org/officeDocument/2006/relationships/hyperlink" Target="consultantplus://offline/ref=E5B595C870C622B6864EEFDF1E73B2B923C6DB7417B92AFE04F0DAF69A8598C0F4D3A81E3BBE34C7X9m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B595C870C622B6864EEFDF1E73B2B923C6DB7417B92AFE04F0DAF69A8598C0F4D3A81E3BBE37CBX9mDI" TargetMode="External"/><Relationship Id="rId23" Type="http://schemas.openxmlformats.org/officeDocument/2006/relationships/hyperlink" Target="consultantplus://offline/ref=E5B595C870C622B6864EEFDF1E73B2B923C6DB7417B92AFE04F0DAF69A8598C0F4D3A81E3BBE34C6X9m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BBF2E6A28CF58F5DAEA899C0A829FFDEF6DC21513B2731E7CB79BF694B267D" TargetMode="External"/><Relationship Id="rId19" Type="http://schemas.openxmlformats.org/officeDocument/2006/relationships/hyperlink" Target="consultantplus://offline/ref=E5B595C870C622B6864EEFDF1E73B2B923C6DB7417B92AFE04F0DAF69A8598C0F4D3A8193CXBm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84368917A7B0633A9078E7270515EB2577D1F21BA891B90AC501EC7A22B484933F36F2E63DGAH" TargetMode="External"/><Relationship Id="rId14" Type="http://schemas.openxmlformats.org/officeDocument/2006/relationships/hyperlink" Target="consultantplus://offline/ref=E5B595C870C622B6864EEFDF1E73B2B923C6DB7417B92AFE04F0DAF69A8598C0F4D3A81E3BBF32CBX9m3I" TargetMode="External"/><Relationship Id="rId22" Type="http://schemas.openxmlformats.org/officeDocument/2006/relationships/hyperlink" Target="consultantplus://offline/ref=E5B595C870C622B6864EEFDF1E73B2B923C6DB7417B92AFE04F0DAF69A8598C0F4D3A8193CXBmA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29CC-6DB6-4754-98BB-F9949F8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14</cp:revision>
  <cp:lastPrinted>2017-01-09T00:38:00Z</cp:lastPrinted>
  <dcterms:created xsi:type="dcterms:W3CDTF">2016-12-28T12:09:00Z</dcterms:created>
  <dcterms:modified xsi:type="dcterms:W3CDTF">2017-05-11T02:56:00Z</dcterms:modified>
</cp:coreProperties>
</file>